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color w:val="A85A62"/>
        </w:rPr>
        <w:t xml:space="preserve">Guião da apresentação</w:t>
      </w:r>
    </w:p>
    <w:p>
      <w:pPr>
        <w:spacing w:after="80"/>
        <w:jc w:val="center"/>
      </w:pPr>
      <w:r>
        <w:rPr>
          <w:b/>
          <w:bCs/>
          <w:sz w:val="26"/>
          <w:szCs w:val="26"/>
        </w:rPr>
        <w:t xml:space="preserve">Agonistas do recetor GLP-1 e prevenção do carcinoma do endométrio</w:t>
      </w:r>
    </w:p>
    <w:p>
      <w:pPr>
        <w:spacing w:after="300"/>
        <w:jc w:val="center"/>
      </w:pPr>
      <w:r>
        <w:rPr>
          <w:i/>
          <w:iCs/>
          <w:color w:val="555555"/>
          <w:sz w:val="22"/>
          <w:szCs w:val="22"/>
        </w:rPr>
        <w:t xml:space="preserve">Proposta de revisão sistemática com meta-análise · 25 diapositivos · duração prevista ≈ 22 minutos</w:t>
      </w:r>
    </w:p>
    <w:p>
      <w:pPr>
        <w:pStyle w:val="Heading1"/>
      </w:pPr>
      <w:r>
        <w:t xml:space="preserve">Antes de começar</w:t>
      </w:r>
    </w:p>
    <w:p>
      <w:pPr>
        <w:pStyle w:val="ListParagraph"/>
        <w:numPr>
          <w:ilvl w:val="0"/>
          <w:numId w:val="2"/>
        </w:numPr>
        <w:spacing w:after="60"/>
      </w:pPr>
      <w:r>
        <w:rPr>
          <w:sz w:val="22"/>
          <w:szCs w:val="22"/>
        </w:rPr>
        <w:t xml:space="preserve">O texto em corpo normal é para dizer; os “pontos-chave” são os números que não podem falhar.</w:t>
      </w:r>
    </w:p>
    <w:p>
      <w:pPr>
        <w:pStyle w:val="ListParagraph"/>
        <w:numPr>
          <w:ilvl w:val="0"/>
          <w:numId w:val="2"/>
        </w:numPr>
        <w:spacing w:after="60"/>
      </w:pPr>
      <w:r>
        <w:rPr>
          <w:sz w:val="22"/>
          <w:szCs w:val="22"/>
        </w:rPr>
        <w:t xml:space="preserve">Tempos indicativos por diapositivo; os diapositivos 9 a 15 são o centro da apresentação — se faltar tempo, encurtar os diapositivos 4, 7, 17 e 24.</w:t>
      </w:r>
    </w:p>
    <w:p>
      <w:pPr>
        <w:pStyle w:val="ListParagraph"/>
        <w:numPr>
          <w:ilvl w:val="0"/>
          <w:numId w:val="2"/>
        </w:numPr>
        <w:spacing w:after="60"/>
      </w:pPr>
      <w:r>
        <w:rPr>
          <w:sz w:val="22"/>
          <w:szCs w:val="22"/>
        </w:rPr>
        <w:t xml:space="preserve">Os números exatos (HR e IC) estão nos diapositivos: não é preciso dizê-los todos, basta o HR principal e se é ou não significativo.</w:t>
      </w:r>
    </w:p>
    <w:p>
      <w:pPr>
        <w:pStyle w:val="ListParagraph"/>
        <w:numPr>
          <w:ilvl w:val="0"/>
          <w:numId w:val="2"/>
        </w:numPr>
        <w:spacing w:after="60"/>
      </w:pPr>
      <w:r>
        <w:rPr>
          <w:sz w:val="22"/>
          <w:szCs w:val="22"/>
        </w:rPr>
        <w:t xml:space="preserve">Mensagem que deve ficar: a evidência observacional favorável é provavelmente explicada por confundimento; é por isso que é precisa uma meta-análise estratificada.</w:t>
      </w:r>
    </w:p>
    <w:p>
      <w:pPr>
        <w:pStyle w:val="Heading1"/>
      </w:pPr>
      <w:r>
        <w:t xml:space="preserve">Plano de tempos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2000"/>
      </w:tblGrid>
      <w:tr>
        <w:trPr>
          <w:tblHeader/>
        </w:trPr>
        <w:tc>
          <w:tcPr>
            <w:tcW w:type="dxa" w:w="900"/>
            <w:shd w:fill="A85A62" w:color="auto" w:val="clear"/>
            <w:tcMar>
              <w:top w:type="dxa" w:w="25"/>
              <w:left w:type="dxa" w:w="100"/>
              <w:bottom w:type="dxa" w:w="25"/>
              <w:right w:type="dxa" w:w="100"/>
            </w:tcMar>
          </w:tcPr>
          <w:p>
            <w:r>
              <w:rPr>
                <w:b/>
                <w:bCs/>
                <w:color w:val="FFFFFF"/>
                <w:sz w:val="20"/>
                <w:szCs w:val="20"/>
              </w:rPr>
              <w:t xml:space="preserve">Diap.</w:t>
            </w:r>
          </w:p>
        </w:tc>
        <w:tc>
          <w:tcPr>
            <w:tcW w:type="dxa" w:w="6100"/>
            <w:shd w:fill="A85A62" w:color="auto" w:val="clear"/>
            <w:tcMar>
              <w:top w:type="dxa" w:w="25"/>
              <w:left w:type="dxa" w:w="100"/>
              <w:bottom w:type="dxa" w:w="25"/>
              <w:right w:type="dxa" w:w="100"/>
            </w:tcMar>
          </w:tcPr>
          <w:p>
            <w:r>
              <w:rPr>
                <w:b/>
                <w:bCs/>
                <w:color w:val="FFFFFF"/>
                <w:sz w:val="20"/>
                <w:szCs w:val="20"/>
              </w:rPr>
              <w:t xml:space="preserve">Título</w:t>
            </w:r>
          </w:p>
        </w:tc>
        <w:tc>
          <w:tcPr>
            <w:tcW w:type="dxa" w:w="2000"/>
            <w:shd w:fill="A85A62" w:color="auto" w:val="clear"/>
            <w:tcMar>
              <w:top w:type="dxa" w:w="25"/>
              <w:left w:type="dxa" w:w="100"/>
              <w:bottom w:type="dxa" w:w="25"/>
              <w:right w:type="dxa" w:w="100"/>
            </w:tcMar>
          </w:tcPr>
          <w:p>
            <w:r>
              <w:rPr>
                <w:b/>
                <w:bCs/>
                <w:color w:val="FFFFFF"/>
                <w:sz w:val="20"/>
                <w:szCs w:val="20"/>
              </w:rPr>
              <w:t xml:space="preserve">Tempo</w:t>
            </w:r>
          </w:p>
        </w:tc>
      </w:tr>
      <w:tr>
        <w:tc>
          <w:tcPr>
            <w:tcW w:type="dxa" w:w="900"/>
            <w:tcMar>
              <w:top w:type="dxa" w:w="25"/>
              <w:left w:type="dxa" w:w="100"/>
              <w:bottom w:type="dxa" w:w="25"/>
              <w:right w:type="dxa" w:w="100"/>
            </w:tcMar>
          </w:tcPr>
          <w:p>
            <w:r>
              <w:rPr>
                <w:color w:val="000000"/>
                <w:sz w:val="20"/>
                <w:szCs w:val="20"/>
              </w:rPr>
              <w:t xml:space="preserve">1</w:t>
            </w:r>
          </w:p>
        </w:tc>
        <w:tc>
          <w:tcPr>
            <w:tcW w:type="dxa" w:w="6100"/>
            <w:tcMar>
              <w:top w:type="dxa" w:w="25"/>
              <w:left w:type="dxa" w:w="100"/>
              <w:bottom w:type="dxa" w:w="25"/>
              <w:right w:type="dxa" w:w="100"/>
            </w:tcMar>
          </w:tcPr>
          <w:p>
            <w:r>
              <w:rPr>
                <w:color w:val="000000"/>
                <w:sz w:val="20"/>
                <w:szCs w:val="20"/>
              </w:rPr>
              <w:t xml:space="preserve">Capa</w:t>
            </w:r>
          </w:p>
        </w:tc>
        <w:tc>
          <w:tcPr>
            <w:tcW w:type="dxa" w:w="2000"/>
            <w:tcMar>
              <w:top w:type="dxa" w:w="25"/>
              <w:left w:type="dxa" w:w="100"/>
              <w:bottom w:type="dxa" w:w="25"/>
              <w:right w:type="dxa" w:w="100"/>
            </w:tcMar>
          </w:tcPr>
          <w:p>
            <w:r>
              <w:rPr>
                <w:color w:val="000000"/>
                <w:sz w:val="20"/>
                <w:szCs w:val="20"/>
              </w:rPr>
              <w:t xml:space="preserve">0:20</w:t>
            </w:r>
          </w:p>
        </w:tc>
      </w:tr>
      <w:tr>
        <w:tc>
          <w:tcPr>
            <w:tcW w:type="dxa" w:w="900"/>
            <w:tcMar>
              <w:top w:type="dxa" w:w="25"/>
              <w:left w:type="dxa" w:w="100"/>
              <w:bottom w:type="dxa" w:w="25"/>
              <w:right w:type="dxa" w:w="100"/>
            </w:tcMar>
          </w:tcPr>
          <w:p>
            <w:r>
              <w:rPr>
                <w:color w:val="000000"/>
                <w:sz w:val="20"/>
                <w:szCs w:val="20"/>
              </w:rPr>
              <w:t xml:space="preserve">2</w:t>
            </w:r>
          </w:p>
        </w:tc>
        <w:tc>
          <w:tcPr>
            <w:tcW w:type="dxa" w:w="6100"/>
            <w:tcMar>
              <w:top w:type="dxa" w:w="25"/>
              <w:left w:type="dxa" w:w="100"/>
              <w:bottom w:type="dxa" w:w="25"/>
              <w:right w:type="dxa" w:w="100"/>
            </w:tcMar>
          </w:tcPr>
          <w:p>
            <w:r>
              <w:rPr>
                <w:color w:val="000000"/>
                <w:sz w:val="20"/>
                <w:szCs w:val="20"/>
              </w:rPr>
              <w:t xml:space="preserve">Índice</w:t>
            </w:r>
          </w:p>
        </w:tc>
        <w:tc>
          <w:tcPr>
            <w:tcW w:type="dxa" w:w="2000"/>
            <w:tcMar>
              <w:top w:type="dxa" w:w="25"/>
              <w:left w:type="dxa" w:w="100"/>
              <w:bottom w:type="dxa" w:w="25"/>
              <w:right w:type="dxa" w:w="100"/>
            </w:tcMar>
          </w:tcPr>
          <w:p>
            <w:r>
              <w:rPr>
                <w:color w:val="000000"/>
                <w:sz w:val="20"/>
                <w:szCs w:val="20"/>
              </w:rPr>
              <w:t xml:space="preserve">0:20</w:t>
            </w:r>
          </w:p>
        </w:tc>
      </w:tr>
      <w:tr>
        <w:tc>
          <w:tcPr>
            <w:tcW w:type="dxa" w:w="900"/>
            <w:tcMar>
              <w:top w:type="dxa" w:w="25"/>
              <w:left w:type="dxa" w:w="100"/>
              <w:bottom w:type="dxa" w:w="25"/>
              <w:right w:type="dxa" w:w="100"/>
            </w:tcMar>
          </w:tcPr>
          <w:p>
            <w:r>
              <w:rPr>
                <w:color w:val="000000"/>
                <w:sz w:val="20"/>
                <w:szCs w:val="20"/>
              </w:rPr>
              <w:t xml:space="preserve">3</w:t>
            </w:r>
          </w:p>
        </w:tc>
        <w:tc>
          <w:tcPr>
            <w:tcW w:type="dxa" w:w="6100"/>
            <w:tcMar>
              <w:top w:type="dxa" w:w="25"/>
              <w:left w:type="dxa" w:w="100"/>
              <w:bottom w:type="dxa" w:w="25"/>
              <w:right w:type="dxa" w:w="100"/>
            </w:tcMar>
          </w:tcPr>
          <w:p>
            <w:r>
              <w:rPr>
                <w:color w:val="000000"/>
                <w:sz w:val="20"/>
                <w:szCs w:val="20"/>
              </w:rPr>
              <w:t xml:space="preserve">Obesidade e cancro: um problema central em ginecologia</w:t>
            </w:r>
          </w:p>
        </w:tc>
        <w:tc>
          <w:tcPr>
            <w:tcW w:type="dxa" w:w="2000"/>
            <w:tcMar>
              <w:top w:type="dxa" w:w="25"/>
              <w:left w:type="dxa" w:w="100"/>
              <w:bottom w:type="dxa" w:w="25"/>
              <w:right w:type="dxa" w:w="100"/>
            </w:tcMar>
          </w:tcPr>
          <w:p>
            <w:r>
              <w:rPr>
                <w:color w:val="000000"/>
                <w:sz w:val="20"/>
                <w:szCs w:val="20"/>
              </w:rPr>
              <w:t xml:space="preserve">1:00</w:t>
            </w:r>
          </w:p>
        </w:tc>
      </w:tr>
      <w:tr>
        <w:tc>
          <w:tcPr>
            <w:tcW w:type="dxa" w:w="900"/>
            <w:tcMar>
              <w:top w:type="dxa" w:w="25"/>
              <w:left w:type="dxa" w:w="100"/>
              <w:bottom w:type="dxa" w:w="25"/>
              <w:right w:type="dxa" w:w="100"/>
            </w:tcMar>
          </w:tcPr>
          <w:p>
            <w:r>
              <w:rPr>
                <w:color w:val="000000"/>
                <w:sz w:val="20"/>
                <w:szCs w:val="20"/>
              </w:rPr>
              <w:t xml:space="preserve">4</w:t>
            </w:r>
          </w:p>
        </w:tc>
        <w:tc>
          <w:tcPr>
            <w:tcW w:type="dxa" w:w="6100"/>
            <w:tcMar>
              <w:top w:type="dxa" w:w="25"/>
              <w:left w:type="dxa" w:w="100"/>
              <w:bottom w:type="dxa" w:w="25"/>
              <w:right w:type="dxa" w:w="100"/>
            </w:tcMar>
          </w:tcPr>
          <w:p>
            <w:r>
              <w:rPr>
                <w:color w:val="000000"/>
                <w:sz w:val="20"/>
                <w:szCs w:val="20"/>
              </w:rPr>
              <w:t xml:space="preserve">Mecanismo de ação</w:t>
            </w:r>
          </w:p>
        </w:tc>
        <w:tc>
          <w:tcPr>
            <w:tcW w:type="dxa" w:w="2000"/>
            <w:tcMar>
              <w:top w:type="dxa" w:w="25"/>
              <w:left w:type="dxa" w:w="100"/>
              <w:bottom w:type="dxa" w:w="25"/>
              <w:right w:type="dxa" w:w="100"/>
            </w:tcMar>
          </w:tcPr>
          <w:p>
            <w:r>
              <w:rPr>
                <w:color w:val="000000"/>
                <w:sz w:val="20"/>
                <w:szCs w:val="20"/>
              </w:rPr>
              <w:t xml:space="preserve">0:45</w:t>
            </w:r>
          </w:p>
        </w:tc>
      </w:tr>
      <w:tr>
        <w:tc>
          <w:tcPr>
            <w:tcW w:type="dxa" w:w="900"/>
            <w:tcMar>
              <w:top w:type="dxa" w:w="25"/>
              <w:left w:type="dxa" w:w="100"/>
              <w:bottom w:type="dxa" w:w="25"/>
              <w:right w:type="dxa" w:w="100"/>
            </w:tcMar>
          </w:tcPr>
          <w:p>
            <w:r>
              <w:rPr>
                <w:color w:val="000000"/>
                <w:sz w:val="20"/>
                <w:szCs w:val="20"/>
              </w:rPr>
              <w:t xml:space="preserve">5</w:t>
            </w:r>
          </w:p>
        </w:tc>
        <w:tc>
          <w:tcPr>
            <w:tcW w:type="dxa" w:w="6100"/>
            <w:tcMar>
              <w:top w:type="dxa" w:w="25"/>
              <w:left w:type="dxa" w:w="100"/>
              <w:bottom w:type="dxa" w:w="25"/>
              <w:right w:type="dxa" w:w="100"/>
            </w:tcMar>
          </w:tcPr>
          <w:p>
            <w:r>
              <w:rPr>
                <w:color w:val="000000"/>
                <w:sz w:val="20"/>
                <w:szCs w:val="20"/>
              </w:rPr>
              <w:t xml:space="preserve">Fármacos incluídos</w:t>
            </w:r>
          </w:p>
        </w:tc>
        <w:tc>
          <w:tcPr>
            <w:tcW w:type="dxa" w:w="2000"/>
            <w:tcMar>
              <w:top w:type="dxa" w:w="25"/>
              <w:left w:type="dxa" w:w="100"/>
              <w:bottom w:type="dxa" w:w="25"/>
              <w:right w:type="dxa" w:w="100"/>
            </w:tcMar>
          </w:tcPr>
          <w:p>
            <w:r>
              <w:rPr>
                <w:color w:val="000000"/>
                <w:sz w:val="20"/>
                <w:szCs w:val="20"/>
              </w:rPr>
              <w:t xml:space="preserve">1:00</w:t>
            </w:r>
          </w:p>
        </w:tc>
      </w:tr>
      <w:tr>
        <w:tc>
          <w:tcPr>
            <w:tcW w:type="dxa" w:w="900"/>
            <w:tcMar>
              <w:top w:type="dxa" w:w="25"/>
              <w:left w:type="dxa" w:w="100"/>
              <w:bottom w:type="dxa" w:w="25"/>
              <w:right w:type="dxa" w:w="100"/>
            </w:tcMar>
          </w:tcPr>
          <w:p>
            <w:r>
              <w:rPr>
                <w:color w:val="000000"/>
                <w:sz w:val="20"/>
                <w:szCs w:val="20"/>
              </w:rPr>
              <w:t xml:space="preserve">6</w:t>
            </w:r>
          </w:p>
        </w:tc>
        <w:tc>
          <w:tcPr>
            <w:tcW w:type="dxa" w:w="6100"/>
            <w:tcMar>
              <w:top w:type="dxa" w:w="25"/>
              <w:left w:type="dxa" w:w="100"/>
              <w:bottom w:type="dxa" w:w="25"/>
              <w:right w:type="dxa" w:w="100"/>
            </w:tcMar>
          </w:tcPr>
          <w:p>
            <w:r>
              <w:rPr>
                <w:color w:val="000000"/>
                <w:sz w:val="20"/>
                <w:szCs w:val="20"/>
              </w:rPr>
              <w:t xml:space="preserve">Benefícios</w:t>
            </w:r>
          </w:p>
        </w:tc>
        <w:tc>
          <w:tcPr>
            <w:tcW w:type="dxa" w:w="2000"/>
            <w:tcMar>
              <w:top w:type="dxa" w:w="25"/>
              <w:left w:type="dxa" w:w="100"/>
              <w:bottom w:type="dxa" w:w="25"/>
              <w:right w:type="dxa" w:w="100"/>
            </w:tcMar>
          </w:tcPr>
          <w:p>
            <w:r>
              <w:rPr>
                <w:color w:val="000000"/>
                <w:sz w:val="20"/>
                <w:szCs w:val="20"/>
              </w:rPr>
              <w:t xml:space="preserve">0:50</w:t>
            </w:r>
          </w:p>
        </w:tc>
      </w:tr>
      <w:tr>
        <w:tc>
          <w:tcPr>
            <w:tcW w:type="dxa" w:w="900"/>
            <w:tcMar>
              <w:top w:type="dxa" w:w="25"/>
              <w:left w:type="dxa" w:w="100"/>
              <w:bottom w:type="dxa" w:w="25"/>
              <w:right w:type="dxa" w:w="100"/>
            </w:tcMar>
          </w:tcPr>
          <w:p>
            <w:r>
              <w:rPr>
                <w:color w:val="000000"/>
                <w:sz w:val="20"/>
                <w:szCs w:val="20"/>
              </w:rPr>
              <w:t xml:space="preserve">7</w:t>
            </w:r>
          </w:p>
        </w:tc>
        <w:tc>
          <w:tcPr>
            <w:tcW w:type="dxa" w:w="6100"/>
            <w:tcMar>
              <w:top w:type="dxa" w:w="25"/>
              <w:left w:type="dxa" w:w="100"/>
              <w:bottom w:type="dxa" w:w="25"/>
              <w:right w:type="dxa" w:w="100"/>
            </w:tcMar>
          </w:tcPr>
          <w:p>
            <w:r>
              <w:rPr>
                <w:color w:val="000000"/>
                <w:sz w:val="20"/>
                <w:szCs w:val="20"/>
              </w:rPr>
              <w:t xml:space="preserve">Efeitos adversos</w:t>
            </w:r>
          </w:p>
        </w:tc>
        <w:tc>
          <w:tcPr>
            <w:tcW w:type="dxa" w:w="2000"/>
            <w:tcMar>
              <w:top w:type="dxa" w:w="25"/>
              <w:left w:type="dxa" w:w="100"/>
              <w:bottom w:type="dxa" w:w="25"/>
              <w:right w:type="dxa" w:w="100"/>
            </w:tcMar>
          </w:tcPr>
          <w:p>
            <w:r>
              <w:rPr>
                <w:color w:val="000000"/>
                <w:sz w:val="20"/>
                <w:szCs w:val="20"/>
              </w:rPr>
              <w:t xml:space="preserve">0:30</w:t>
            </w:r>
          </w:p>
        </w:tc>
      </w:tr>
      <w:tr>
        <w:tc>
          <w:tcPr>
            <w:tcW w:type="dxa" w:w="900"/>
            <w:tcMar>
              <w:top w:type="dxa" w:w="25"/>
              <w:left w:type="dxa" w:w="100"/>
              <w:bottom w:type="dxa" w:w="25"/>
              <w:right w:type="dxa" w:w="100"/>
            </w:tcMar>
          </w:tcPr>
          <w:p>
            <w:r>
              <w:rPr>
                <w:color w:val="000000"/>
                <w:sz w:val="20"/>
                <w:szCs w:val="20"/>
              </w:rPr>
              <w:t xml:space="preserve">8</w:t>
            </w:r>
          </w:p>
        </w:tc>
        <w:tc>
          <w:tcPr>
            <w:tcW w:type="dxa" w:w="6100"/>
            <w:tcMar>
              <w:top w:type="dxa" w:w="25"/>
              <w:left w:type="dxa" w:w="100"/>
              <w:bottom w:type="dxa" w:w="25"/>
              <w:right w:type="dxa" w:w="100"/>
            </w:tcMar>
          </w:tcPr>
          <w:p>
            <w:r>
              <w:rPr>
                <w:color w:val="000000"/>
                <w:sz w:val="20"/>
                <w:szCs w:val="20"/>
              </w:rPr>
              <w:t xml:space="preserve">Hierarquia da evidência</w:t>
            </w:r>
          </w:p>
        </w:tc>
        <w:tc>
          <w:tcPr>
            <w:tcW w:type="dxa" w:w="2000"/>
            <w:tcMar>
              <w:top w:type="dxa" w:w="25"/>
              <w:left w:type="dxa" w:w="100"/>
              <w:bottom w:type="dxa" w:w="25"/>
              <w:right w:type="dxa" w:w="100"/>
            </w:tcMar>
          </w:tcPr>
          <w:p>
            <w:r>
              <w:rPr>
                <w:color w:val="000000"/>
                <w:sz w:val="20"/>
                <w:szCs w:val="20"/>
              </w:rPr>
              <w:t xml:space="preserve">0:45</w:t>
            </w:r>
          </w:p>
        </w:tc>
      </w:tr>
      <w:tr>
        <w:tc>
          <w:tcPr>
            <w:tcW w:type="dxa" w:w="900"/>
            <w:tcMar>
              <w:top w:type="dxa" w:w="25"/>
              <w:left w:type="dxa" w:w="100"/>
              <w:bottom w:type="dxa" w:w="25"/>
              <w:right w:type="dxa" w:w="100"/>
            </w:tcMar>
          </w:tcPr>
          <w:p>
            <w:r>
              <w:rPr>
                <w:color w:val="000000"/>
                <w:sz w:val="20"/>
                <w:szCs w:val="20"/>
              </w:rPr>
              <w:t xml:space="preserve">9</w:t>
            </w:r>
          </w:p>
        </w:tc>
        <w:tc>
          <w:tcPr>
            <w:tcW w:type="dxa" w:w="6100"/>
            <w:tcMar>
              <w:top w:type="dxa" w:w="25"/>
              <w:left w:type="dxa" w:w="100"/>
              <w:bottom w:type="dxa" w:w="25"/>
              <w:right w:type="dxa" w:w="100"/>
            </w:tcMar>
          </w:tcPr>
          <w:p>
            <w:r>
              <w:rPr>
                <w:color w:val="000000"/>
                <w:sz w:val="20"/>
                <w:szCs w:val="20"/>
              </w:rPr>
              <w:t xml:space="preserve">Evidência de ensaios aleatorizados</w:t>
            </w:r>
          </w:p>
        </w:tc>
        <w:tc>
          <w:tcPr>
            <w:tcW w:type="dxa" w:w="2000"/>
            <w:tcMar>
              <w:top w:type="dxa" w:w="25"/>
              <w:left w:type="dxa" w:w="100"/>
              <w:bottom w:type="dxa" w:w="25"/>
              <w:right w:type="dxa" w:w="100"/>
            </w:tcMar>
          </w:tcPr>
          <w:p>
            <w:r>
              <w:rPr>
                <w:color w:val="000000"/>
                <w:sz w:val="20"/>
                <w:szCs w:val="20"/>
              </w:rPr>
              <w:t xml:space="preserve">1:15</w:t>
            </w:r>
          </w:p>
        </w:tc>
      </w:tr>
      <w:tr>
        <w:tc>
          <w:tcPr>
            <w:tcW w:type="dxa" w:w="900"/>
            <w:tcMar>
              <w:top w:type="dxa" w:w="25"/>
              <w:left w:type="dxa" w:w="100"/>
              <w:bottom w:type="dxa" w:w="25"/>
              <w:right w:type="dxa" w:w="100"/>
            </w:tcMar>
          </w:tcPr>
          <w:p>
            <w:r>
              <w:rPr>
                <w:color w:val="000000"/>
                <w:sz w:val="20"/>
                <w:szCs w:val="20"/>
              </w:rPr>
              <w:t xml:space="preserve">10</w:t>
            </w:r>
          </w:p>
        </w:tc>
        <w:tc>
          <w:tcPr>
            <w:tcW w:type="dxa" w:w="6100"/>
            <w:tcMar>
              <w:top w:type="dxa" w:w="25"/>
              <w:left w:type="dxa" w:w="100"/>
              <w:bottom w:type="dxa" w:w="25"/>
              <w:right w:type="dxa" w:w="100"/>
            </w:tcMar>
          </w:tcPr>
          <w:p>
            <w:r>
              <w:rPr>
                <w:color w:val="000000"/>
                <w:sz w:val="20"/>
                <w:szCs w:val="20"/>
              </w:rPr>
              <w:t xml:space="preserve">Revisão sistemática em doentes com DM2</w:t>
            </w:r>
          </w:p>
        </w:tc>
        <w:tc>
          <w:tcPr>
            <w:tcW w:type="dxa" w:w="2000"/>
            <w:tcMar>
              <w:top w:type="dxa" w:w="25"/>
              <w:left w:type="dxa" w:w="100"/>
              <w:bottom w:type="dxa" w:w="25"/>
              <w:right w:type="dxa" w:w="100"/>
            </w:tcMar>
          </w:tcPr>
          <w:p>
            <w:r>
              <w:rPr>
                <w:color w:val="000000"/>
                <w:sz w:val="20"/>
                <w:szCs w:val="20"/>
              </w:rPr>
              <w:t xml:space="preserve">0:45</w:t>
            </w:r>
          </w:p>
        </w:tc>
      </w:tr>
      <w:tr>
        <w:tc>
          <w:tcPr>
            <w:tcW w:type="dxa" w:w="900"/>
            <w:tcMar>
              <w:top w:type="dxa" w:w="25"/>
              <w:left w:type="dxa" w:w="100"/>
              <w:bottom w:type="dxa" w:w="25"/>
              <w:right w:type="dxa" w:w="100"/>
            </w:tcMar>
          </w:tcPr>
          <w:p>
            <w:r>
              <w:rPr>
                <w:color w:val="000000"/>
                <w:sz w:val="20"/>
                <w:szCs w:val="20"/>
              </w:rPr>
              <w:t xml:space="preserve">11</w:t>
            </w:r>
          </w:p>
        </w:tc>
        <w:tc>
          <w:tcPr>
            <w:tcW w:type="dxa" w:w="6100"/>
            <w:tcMar>
              <w:top w:type="dxa" w:w="25"/>
              <w:left w:type="dxa" w:w="100"/>
              <w:bottom w:type="dxa" w:w="25"/>
              <w:right w:type="dxa" w:w="100"/>
            </w:tcMar>
          </w:tcPr>
          <w:p>
            <w:r>
              <w:rPr>
                <w:color w:val="000000"/>
                <w:sz w:val="20"/>
                <w:szCs w:val="20"/>
              </w:rPr>
              <w:t xml:space="preserve">Rothman et al., 2025 – o desenho observacional mais robusto</w:t>
            </w:r>
          </w:p>
        </w:tc>
        <w:tc>
          <w:tcPr>
            <w:tcW w:type="dxa" w:w="2000"/>
            <w:tcMar>
              <w:top w:type="dxa" w:w="25"/>
              <w:left w:type="dxa" w:w="100"/>
              <w:bottom w:type="dxa" w:w="25"/>
              <w:right w:type="dxa" w:w="100"/>
            </w:tcMar>
          </w:tcPr>
          <w:p>
            <w:r>
              <w:rPr>
                <w:color w:val="000000"/>
                <w:sz w:val="20"/>
                <w:szCs w:val="20"/>
              </w:rPr>
              <w:t xml:space="preserve">1:30</w:t>
            </w:r>
          </w:p>
        </w:tc>
      </w:tr>
      <w:tr>
        <w:tc>
          <w:tcPr>
            <w:tcW w:type="dxa" w:w="900"/>
            <w:tcMar>
              <w:top w:type="dxa" w:w="25"/>
              <w:left w:type="dxa" w:w="100"/>
              <w:bottom w:type="dxa" w:w="25"/>
              <w:right w:type="dxa" w:w="100"/>
            </w:tcMar>
          </w:tcPr>
          <w:p>
            <w:r>
              <w:rPr>
                <w:color w:val="000000"/>
                <w:sz w:val="20"/>
                <w:szCs w:val="20"/>
              </w:rPr>
              <w:t xml:space="preserve">12</w:t>
            </w:r>
          </w:p>
        </w:tc>
        <w:tc>
          <w:tcPr>
            <w:tcW w:type="dxa" w:w="6100"/>
            <w:tcMar>
              <w:top w:type="dxa" w:w="25"/>
              <w:left w:type="dxa" w:w="100"/>
              <w:bottom w:type="dxa" w:w="25"/>
              <w:right w:type="dxa" w:w="100"/>
            </w:tcMar>
          </w:tcPr>
          <w:p>
            <w:r>
              <w:rPr>
                <w:color w:val="000000"/>
                <w:sz w:val="20"/>
                <w:szCs w:val="20"/>
              </w:rPr>
              <w:t xml:space="preserve">Wang et al., 2024</w:t>
            </w:r>
          </w:p>
        </w:tc>
        <w:tc>
          <w:tcPr>
            <w:tcW w:type="dxa" w:w="2000"/>
            <w:tcMar>
              <w:top w:type="dxa" w:w="25"/>
              <w:left w:type="dxa" w:w="100"/>
              <w:bottom w:type="dxa" w:w="25"/>
              <w:right w:type="dxa" w:w="100"/>
            </w:tcMar>
          </w:tcPr>
          <w:p>
            <w:r>
              <w:rPr>
                <w:color w:val="000000"/>
                <w:sz w:val="20"/>
                <w:szCs w:val="20"/>
              </w:rPr>
              <w:t xml:space="preserve">0:50</w:t>
            </w:r>
          </w:p>
        </w:tc>
      </w:tr>
      <w:tr>
        <w:tc>
          <w:tcPr>
            <w:tcW w:type="dxa" w:w="900"/>
            <w:tcMar>
              <w:top w:type="dxa" w:w="25"/>
              <w:left w:type="dxa" w:w="100"/>
              <w:bottom w:type="dxa" w:w="25"/>
              <w:right w:type="dxa" w:w="100"/>
            </w:tcMar>
          </w:tcPr>
          <w:p>
            <w:r>
              <w:rPr>
                <w:color w:val="000000"/>
                <w:sz w:val="20"/>
                <w:szCs w:val="20"/>
              </w:rPr>
              <w:t xml:space="preserve">13</w:t>
            </w:r>
          </w:p>
        </w:tc>
        <w:tc>
          <w:tcPr>
            <w:tcW w:type="dxa" w:w="6100"/>
            <w:tcMar>
              <w:top w:type="dxa" w:w="25"/>
              <w:left w:type="dxa" w:w="100"/>
              <w:bottom w:type="dxa" w:w="25"/>
              <w:right w:type="dxa" w:w="100"/>
            </w:tcMar>
          </w:tcPr>
          <w:p>
            <w:r>
              <w:rPr>
                <w:color w:val="000000"/>
                <w:sz w:val="20"/>
                <w:szCs w:val="20"/>
              </w:rPr>
              <w:t xml:space="preserve">Dai et al., 2025</w:t>
            </w:r>
          </w:p>
        </w:tc>
        <w:tc>
          <w:tcPr>
            <w:tcW w:type="dxa" w:w="2000"/>
            <w:tcMar>
              <w:top w:type="dxa" w:w="25"/>
              <w:left w:type="dxa" w:w="100"/>
              <w:bottom w:type="dxa" w:w="25"/>
              <w:right w:type="dxa" w:w="100"/>
            </w:tcMar>
          </w:tcPr>
          <w:p>
            <w:r>
              <w:rPr>
                <w:color w:val="000000"/>
                <w:sz w:val="20"/>
                <w:szCs w:val="20"/>
              </w:rPr>
              <w:t xml:space="preserve">1:15</w:t>
            </w:r>
          </w:p>
        </w:tc>
      </w:tr>
      <w:tr>
        <w:tc>
          <w:tcPr>
            <w:tcW w:type="dxa" w:w="900"/>
            <w:tcMar>
              <w:top w:type="dxa" w:w="25"/>
              <w:left w:type="dxa" w:w="100"/>
              <w:bottom w:type="dxa" w:w="25"/>
              <w:right w:type="dxa" w:w="100"/>
            </w:tcMar>
          </w:tcPr>
          <w:p>
            <w:r>
              <w:rPr>
                <w:color w:val="000000"/>
                <w:sz w:val="20"/>
                <w:szCs w:val="20"/>
              </w:rPr>
              <w:t xml:space="preserve">14</w:t>
            </w:r>
          </w:p>
        </w:tc>
        <w:tc>
          <w:tcPr>
            <w:tcW w:type="dxa" w:w="6100"/>
            <w:tcMar>
              <w:top w:type="dxa" w:w="25"/>
              <w:left w:type="dxa" w:w="100"/>
              <w:bottom w:type="dxa" w:w="25"/>
              <w:right w:type="dxa" w:w="100"/>
            </w:tcMar>
          </w:tcPr>
          <w:p>
            <w:r>
              <w:rPr>
                <w:color w:val="000000"/>
                <w:sz w:val="20"/>
                <w:szCs w:val="20"/>
              </w:rPr>
              <w:t xml:space="preserve">Yen et al., 2026</w:t>
            </w:r>
          </w:p>
        </w:tc>
        <w:tc>
          <w:tcPr>
            <w:tcW w:type="dxa" w:w="2000"/>
            <w:tcMar>
              <w:top w:type="dxa" w:w="25"/>
              <w:left w:type="dxa" w:w="100"/>
              <w:bottom w:type="dxa" w:w="25"/>
              <w:right w:type="dxa" w:w="100"/>
            </w:tcMar>
          </w:tcPr>
          <w:p>
            <w:r>
              <w:rPr>
                <w:color w:val="000000"/>
                <w:sz w:val="20"/>
                <w:szCs w:val="20"/>
              </w:rPr>
              <w:t xml:space="preserve">1:30</w:t>
            </w:r>
          </w:p>
        </w:tc>
      </w:tr>
      <w:tr>
        <w:tc>
          <w:tcPr>
            <w:tcW w:type="dxa" w:w="900"/>
            <w:tcMar>
              <w:top w:type="dxa" w:w="25"/>
              <w:left w:type="dxa" w:w="100"/>
              <w:bottom w:type="dxa" w:w="25"/>
              <w:right w:type="dxa" w:w="100"/>
            </w:tcMar>
          </w:tcPr>
          <w:p>
            <w:r>
              <w:rPr>
                <w:color w:val="000000"/>
                <w:sz w:val="20"/>
                <w:szCs w:val="20"/>
              </w:rPr>
              <w:t xml:space="preserve">15</w:t>
            </w:r>
          </w:p>
        </w:tc>
        <w:tc>
          <w:tcPr>
            <w:tcW w:type="dxa" w:w="6100"/>
            <w:tcMar>
              <w:top w:type="dxa" w:w="25"/>
              <w:left w:type="dxa" w:w="100"/>
              <w:bottom w:type="dxa" w:w="25"/>
              <w:right w:type="dxa" w:w="100"/>
            </w:tcMar>
          </w:tcPr>
          <w:p>
            <w:r>
              <w:rPr>
                <w:color w:val="000000"/>
                <w:sz w:val="20"/>
                <w:szCs w:val="20"/>
              </w:rPr>
              <w:t xml:space="preserve">Estimativas por desenho e comparador (forest plot)</w:t>
            </w:r>
          </w:p>
        </w:tc>
        <w:tc>
          <w:tcPr>
            <w:tcW w:type="dxa" w:w="2000"/>
            <w:tcMar>
              <w:top w:type="dxa" w:w="25"/>
              <w:left w:type="dxa" w:w="100"/>
              <w:bottom w:type="dxa" w:w="25"/>
              <w:right w:type="dxa" w:w="100"/>
            </w:tcMar>
          </w:tcPr>
          <w:p>
            <w:r>
              <w:rPr>
                <w:color w:val="000000"/>
                <w:sz w:val="20"/>
                <w:szCs w:val="20"/>
              </w:rPr>
              <w:t xml:space="preserve">1:00</w:t>
            </w:r>
          </w:p>
        </w:tc>
      </w:tr>
      <w:tr>
        <w:tc>
          <w:tcPr>
            <w:tcW w:type="dxa" w:w="900"/>
            <w:tcMar>
              <w:top w:type="dxa" w:w="25"/>
              <w:left w:type="dxa" w:w="100"/>
              <w:bottom w:type="dxa" w:w="25"/>
              <w:right w:type="dxa" w:w="100"/>
            </w:tcMar>
          </w:tcPr>
          <w:p>
            <w:r>
              <w:rPr>
                <w:color w:val="000000"/>
                <w:sz w:val="20"/>
                <w:szCs w:val="20"/>
              </w:rPr>
              <w:t xml:space="preserve">16</w:t>
            </w:r>
          </w:p>
        </w:tc>
        <w:tc>
          <w:tcPr>
            <w:tcW w:type="dxa" w:w="6100"/>
            <w:tcMar>
              <w:top w:type="dxa" w:w="25"/>
              <w:left w:type="dxa" w:w="100"/>
              <w:bottom w:type="dxa" w:w="25"/>
              <w:right w:type="dxa" w:w="100"/>
            </w:tcMar>
          </w:tcPr>
          <w:p>
            <w:r>
              <w:rPr>
                <w:color w:val="000000"/>
                <w:sz w:val="20"/>
                <w:szCs w:val="20"/>
              </w:rPr>
              <w:t xml:space="preserve">Mecanismos: evidência pré-clínica contraditória</w:t>
            </w:r>
          </w:p>
        </w:tc>
        <w:tc>
          <w:tcPr>
            <w:tcW w:type="dxa" w:w="2000"/>
            <w:tcMar>
              <w:top w:type="dxa" w:w="25"/>
              <w:left w:type="dxa" w:w="100"/>
              <w:bottom w:type="dxa" w:w="25"/>
              <w:right w:type="dxa" w:w="100"/>
            </w:tcMar>
          </w:tcPr>
          <w:p>
            <w:r>
              <w:rPr>
                <w:color w:val="000000"/>
                <w:sz w:val="20"/>
                <w:szCs w:val="20"/>
              </w:rPr>
              <w:t xml:space="preserve">1:00</w:t>
            </w:r>
          </w:p>
        </w:tc>
      </w:tr>
      <w:tr>
        <w:tc>
          <w:tcPr>
            <w:tcW w:type="dxa" w:w="900"/>
            <w:tcMar>
              <w:top w:type="dxa" w:w="25"/>
              <w:left w:type="dxa" w:w="100"/>
              <w:bottom w:type="dxa" w:w="25"/>
              <w:right w:type="dxa" w:w="100"/>
            </w:tcMar>
          </w:tcPr>
          <w:p>
            <w:r>
              <w:rPr>
                <w:color w:val="000000"/>
                <w:sz w:val="20"/>
                <w:szCs w:val="20"/>
              </w:rPr>
              <w:t xml:space="preserve">17</w:t>
            </w:r>
          </w:p>
        </w:tc>
        <w:tc>
          <w:tcPr>
            <w:tcW w:type="dxa" w:w="6100"/>
            <w:tcMar>
              <w:top w:type="dxa" w:w="25"/>
              <w:left w:type="dxa" w:w="100"/>
              <w:bottom w:type="dxa" w:w="25"/>
              <w:right w:type="dxa" w:w="100"/>
            </w:tcMar>
          </w:tcPr>
          <w:p>
            <w:r>
              <w:rPr>
                <w:color w:val="000000"/>
                <w:sz w:val="20"/>
                <w:szCs w:val="20"/>
              </w:rPr>
              <w:t xml:space="preserve">Hagemann: semaglutido + levonorgestrel</w:t>
            </w:r>
          </w:p>
        </w:tc>
        <w:tc>
          <w:tcPr>
            <w:tcW w:type="dxa" w:w="2000"/>
            <w:tcMar>
              <w:top w:type="dxa" w:w="25"/>
              <w:left w:type="dxa" w:w="100"/>
              <w:bottom w:type="dxa" w:w="25"/>
              <w:right w:type="dxa" w:w="100"/>
            </w:tcMar>
          </w:tcPr>
          <w:p>
            <w:r>
              <w:rPr>
                <w:color w:val="000000"/>
                <w:sz w:val="20"/>
                <w:szCs w:val="20"/>
              </w:rPr>
              <w:t xml:space="preserve">0:50</w:t>
            </w:r>
          </w:p>
        </w:tc>
      </w:tr>
      <w:tr>
        <w:tc>
          <w:tcPr>
            <w:tcW w:type="dxa" w:w="900"/>
            <w:tcMar>
              <w:top w:type="dxa" w:w="25"/>
              <w:left w:type="dxa" w:w="100"/>
              <w:bottom w:type="dxa" w:w="25"/>
              <w:right w:type="dxa" w:w="100"/>
            </w:tcMar>
          </w:tcPr>
          <w:p>
            <w:r>
              <w:rPr>
                <w:color w:val="000000"/>
                <w:sz w:val="20"/>
                <w:szCs w:val="20"/>
              </w:rPr>
              <w:t xml:space="preserve">18</w:t>
            </w:r>
          </w:p>
        </w:tc>
        <w:tc>
          <w:tcPr>
            <w:tcW w:type="dxa" w:w="6100"/>
            <w:tcMar>
              <w:top w:type="dxa" w:w="25"/>
              <w:left w:type="dxa" w:w="100"/>
              <w:bottom w:type="dxa" w:w="25"/>
              <w:right w:type="dxa" w:w="100"/>
            </w:tcMar>
          </w:tcPr>
          <w:p>
            <w:r>
              <w:rPr>
                <w:color w:val="000000"/>
                <w:sz w:val="20"/>
                <w:szCs w:val="20"/>
              </w:rPr>
              <w:t xml:space="preserve">Estudos pré-clínicos in vivo</w:t>
            </w:r>
          </w:p>
        </w:tc>
        <w:tc>
          <w:tcPr>
            <w:tcW w:type="dxa" w:w="2000"/>
            <w:tcMar>
              <w:top w:type="dxa" w:w="25"/>
              <w:left w:type="dxa" w:w="100"/>
              <w:bottom w:type="dxa" w:w="25"/>
              <w:right w:type="dxa" w:w="100"/>
            </w:tcMar>
          </w:tcPr>
          <w:p>
            <w:r>
              <w:rPr>
                <w:color w:val="000000"/>
                <w:sz w:val="20"/>
                <w:szCs w:val="20"/>
              </w:rPr>
              <w:t xml:space="preserve">1:00</w:t>
            </w:r>
          </w:p>
        </w:tc>
      </w:tr>
      <w:tr>
        <w:tc>
          <w:tcPr>
            <w:tcW w:type="dxa" w:w="900"/>
            <w:tcMar>
              <w:top w:type="dxa" w:w="25"/>
              <w:left w:type="dxa" w:w="100"/>
              <w:bottom w:type="dxa" w:w="25"/>
              <w:right w:type="dxa" w:w="100"/>
            </w:tcMar>
          </w:tcPr>
          <w:p>
            <w:r>
              <w:rPr>
                <w:color w:val="000000"/>
                <w:sz w:val="20"/>
                <w:szCs w:val="20"/>
              </w:rPr>
              <w:t xml:space="preserve">19</w:t>
            </w:r>
          </w:p>
        </w:tc>
        <w:tc>
          <w:tcPr>
            <w:tcW w:type="dxa" w:w="6100"/>
            <w:tcMar>
              <w:top w:type="dxa" w:w="25"/>
              <w:left w:type="dxa" w:w="100"/>
              <w:bottom w:type="dxa" w:w="25"/>
              <w:right w:type="dxa" w:w="100"/>
            </w:tcMar>
          </w:tcPr>
          <w:p>
            <w:r>
              <w:rPr>
                <w:color w:val="000000"/>
                <w:sz w:val="20"/>
                <w:szCs w:val="20"/>
              </w:rPr>
              <w:t xml:space="preserve">O que podemos concluir?</w:t>
            </w:r>
          </w:p>
        </w:tc>
        <w:tc>
          <w:tcPr>
            <w:tcW w:type="dxa" w:w="2000"/>
            <w:tcMar>
              <w:top w:type="dxa" w:w="25"/>
              <w:left w:type="dxa" w:w="100"/>
              <w:bottom w:type="dxa" w:w="25"/>
              <w:right w:type="dxa" w:w="100"/>
            </w:tcMar>
          </w:tcPr>
          <w:p>
            <w:r>
              <w:rPr>
                <w:color w:val="000000"/>
                <w:sz w:val="20"/>
                <w:szCs w:val="20"/>
              </w:rPr>
              <w:t xml:space="preserve">1:00</w:t>
            </w:r>
          </w:p>
        </w:tc>
      </w:tr>
      <w:tr>
        <w:tc>
          <w:tcPr>
            <w:tcW w:type="dxa" w:w="900"/>
            <w:tcMar>
              <w:top w:type="dxa" w:w="25"/>
              <w:left w:type="dxa" w:w="100"/>
              <w:bottom w:type="dxa" w:w="25"/>
              <w:right w:type="dxa" w:w="100"/>
            </w:tcMar>
          </w:tcPr>
          <w:p>
            <w:r>
              <w:rPr>
                <w:color w:val="000000"/>
                <w:sz w:val="20"/>
                <w:szCs w:val="20"/>
              </w:rPr>
              <w:t xml:space="preserve">20</w:t>
            </w:r>
          </w:p>
        </w:tc>
        <w:tc>
          <w:tcPr>
            <w:tcW w:type="dxa" w:w="6100"/>
            <w:tcMar>
              <w:top w:type="dxa" w:w="25"/>
              <w:left w:type="dxa" w:w="100"/>
              <w:bottom w:type="dxa" w:w="25"/>
              <w:right w:type="dxa" w:w="100"/>
            </w:tcMar>
          </w:tcPr>
          <w:p>
            <w:r>
              <w:rPr>
                <w:color w:val="000000"/>
                <w:sz w:val="20"/>
                <w:szCs w:val="20"/>
              </w:rPr>
              <w:t xml:space="preserve">Proposta: revisão sistemática com meta-análise</w:t>
            </w:r>
          </w:p>
        </w:tc>
        <w:tc>
          <w:tcPr>
            <w:tcW w:type="dxa" w:w="2000"/>
            <w:tcMar>
              <w:top w:type="dxa" w:w="25"/>
              <w:left w:type="dxa" w:w="100"/>
              <w:bottom w:type="dxa" w:w="25"/>
              <w:right w:type="dxa" w:w="100"/>
            </w:tcMar>
          </w:tcPr>
          <w:p>
            <w:r>
              <w:rPr>
                <w:color w:val="000000"/>
                <w:sz w:val="20"/>
                <w:szCs w:val="20"/>
              </w:rPr>
              <w:t xml:space="preserve">1:00</w:t>
            </w:r>
          </w:p>
        </w:tc>
      </w:tr>
      <w:tr>
        <w:tc>
          <w:tcPr>
            <w:tcW w:type="dxa" w:w="900"/>
            <w:tcMar>
              <w:top w:type="dxa" w:w="25"/>
              <w:left w:type="dxa" w:w="100"/>
              <w:bottom w:type="dxa" w:w="25"/>
              <w:right w:type="dxa" w:w="100"/>
            </w:tcMar>
          </w:tcPr>
          <w:p>
            <w:r>
              <w:rPr>
                <w:color w:val="000000"/>
                <w:sz w:val="20"/>
                <w:szCs w:val="20"/>
              </w:rPr>
              <w:t xml:space="preserve">21</w:t>
            </w:r>
          </w:p>
        </w:tc>
        <w:tc>
          <w:tcPr>
            <w:tcW w:type="dxa" w:w="6100"/>
            <w:tcMar>
              <w:top w:type="dxa" w:w="25"/>
              <w:left w:type="dxa" w:w="100"/>
              <w:bottom w:type="dxa" w:w="25"/>
              <w:right w:type="dxa" w:w="100"/>
            </w:tcMar>
          </w:tcPr>
          <w:p>
            <w:r>
              <w:rPr>
                <w:color w:val="000000"/>
                <w:sz w:val="20"/>
                <w:szCs w:val="20"/>
              </w:rPr>
              <w:t xml:space="preserve">PICO</w:t>
            </w:r>
          </w:p>
        </w:tc>
        <w:tc>
          <w:tcPr>
            <w:tcW w:type="dxa" w:w="2000"/>
            <w:tcMar>
              <w:top w:type="dxa" w:w="25"/>
              <w:left w:type="dxa" w:w="100"/>
              <w:bottom w:type="dxa" w:w="25"/>
              <w:right w:type="dxa" w:w="100"/>
            </w:tcMar>
          </w:tcPr>
          <w:p>
            <w:r>
              <w:rPr>
                <w:color w:val="000000"/>
                <w:sz w:val="20"/>
                <w:szCs w:val="20"/>
              </w:rPr>
              <w:t xml:space="preserve">0:50</w:t>
            </w:r>
          </w:p>
        </w:tc>
      </w:tr>
      <w:tr>
        <w:tc>
          <w:tcPr>
            <w:tcW w:type="dxa" w:w="900"/>
            <w:tcMar>
              <w:top w:type="dxa" w:w="25"/>
              <w:left w:type="dxa" w:w="100"/>
              <w:bottom w:type="dxa" w:w="25"/>
              <w:right w:type="dxa" w:w="100"/>
            </w:tcMar>
          </w:tcPr>
          <w:p>
            <w:r>
              <w:rPr>
                <w:color w:val="000000"/>
                <w:sz w:val="20"/>
                <w:szCs w:val="20"/>
              </w:rPr>
              <w:t xml:space="preserve">22</w:t>
            </w:r>
          </w:p>
        </w:tc>
        <w:tc>
          <w:tcPr>
            <w:tcW w:type="dxa" w:w="6100"/>
            <w:tcMar>
              <w:top w:type="dxa" w:w="25"/>
              <w:left w:type="dxa" w:w="100"/>
              <w:bottom w:type="dxa" w:w="25"/>
              <w:right w:type="dxa" w:w="100"/>
            </w:tcMar>
          </w:tcPr>
          <w:p>
            <w:r>
              <w:rPr>
                <w:color w:val="000000"/>
                <w:sz w:val="20"/>
                <w:szCs w:val="20"/>
              </w:rPr>
              <w:t xml:space="preserve">Critérios de elegibilidade e pesquisa</w:t>
            </w:r>
          </w:p>
        </w:tc>
        <w:tc>
          <w:tcPr>
            <w:tcW w:type="dxa" w:w="2000"/>
            <w:tcMar>
              <w:top w:type="dxa" w:w="25"/>
              <w:left w:type="dxa" w:w="100"/>
              <w:bottom w:type="dxa" w:w="25"/>
              <w:right w:type="dxa" w:w="100"/>
            </w:tcMar>
          </w:tcPr>
          <w:p>
            <w:r>
              <w:rPr>
                <w:color w:val="000000"/>
                <w:sz w:val="20"/>
                <w:szCs w:val="20"/>
              </w:rPr>
              <w:t xml:space="preserve">0:45</w:t>
            </w:r>
          </w:p>
        </w:tc>
      </w:tr>
      <w:tr>
        <w:tc>
          <w:tcPr>
            <w:tcW w:type="dxa" w:w="900"/>
            <w:tcMar>
              <w:top w:type="dxa" w:w="25"/>
              <w:left w:type="dxa" w:w="100"/>
              <w:bottom w:type="dxa" w:w="25"/>
              <w:right w:type="dxa" w:w="100"/>
            </w:tcMar>
          </w:tcPr>
          <w:p>
            <w:r>
              <w:rPr>
                <w:color w:val="000000"/>
                <w:sz w:val="20"/>
                <w:szCs w:val="20"/>
              </w:rPr>
              <w:t xml:space="preserve">23</w:t>
            </w:r>
          </w:p>
        </w:tc>
        <w:tc>
          <w:tcPr>
            <w:tcW w:type="dxa" w:w="6100"/>
            <w:tcMar>
              <w:top w:type="dxa" w:w="25"/>
              <w:left w:type="dxa" w:w="100"/>
              <w:bottom w:type="dxa" w:w="25"/>
              <w:right w:type="dxa" w:w="100"/>
            </w:tcMar>
          </w:tcPr>
          <w:p>
            <w:r>
              <w:rPr>
                <w:color w:val="000000"/>
                <w:sz w:val="20"/>
                <w:szCs w:val="20"/>
              </w:rPr>
              <w:t xml:space="preserve">Risco de viés, síntese e análises planeadas</w:t>
            </w:r>
          </w:p>
        </w:tc>
        <w:tc>
          <w:tcPr>
            <w:tcW w:type="dxa" w:w="2000"/>
            <w:tcMar>
              <w:top w:type="dxa" w:w="25"/>
              <w:left w:type="dxa" w:w="100"/>
              <w:bottom w:type="dxa" w:w="25"/>
              <w:right w:type="dxa" w:w="100"/>
            </w:tcMar>
          </w:tcPr>
          <w:p>
            <w:r>
              <w:rPr>
                <w:color w:val="000000"/>
                <w:sz w:val="20"/>
                <w:szCs w:val="20"/>
              </w:rPr>
              <w:t xml:space="preserve">1:00</w:t>
            </w:r>
          </w:p>
        </w:tc>
      </w:tr>
      <w:tr>
        <w:tc>
          <w:tcPr>
            <w:tcW w:type="dxa" w:w="900"/>
            <w:tcMar>
              <w:top w:type="dxa" w:w="25"/>
              <w:left w:type="dxa" w:w="100"/>
              <w:bottom w:type="dxa" w:w="25"/>
              <w:right w:type="dxa" w:w="100"/>
            </w:tcMar>
          </w:tcPr>
          <w:p>
            <w:r>
              <w:rPr>
                <w:color w:val="000000"/>
                <w:sz w:val="20"/>
                <w:szCs w:val="20"/>
              </w:rPr>
              <w:t xml:space="preserve">24</w:t>
            </w:r>
          </w:p>
        </w:tc>
        <w:tc>
          <w:tcPr>
            <w:tcW w:type="dxa" w:w="6100"/>
            <w:tcMar>
              <w:top w:type="dxa" w:w="25"/>
              <w:left w:type="dxa" w:w="100"/>
              <w:bottom w:type="dxa" w:w="25"/>
              <w:right w:type="dxa" w:w="100"/>
            </w:tcMar>
          </w:tcPr>
          <w:p>
            <w:r>
              <w:rPr>
                <w:color w:val="000000"/>
                <w:sz w:val="20"/>
                <w:szCs w:val="20"/>
              </w:rPr>
              <w:t xml:space="preserve">Dados a extrair</w:t>
            </w:r>
          </w:p>
        </w:tc>
        <w:tc>
          <w:tcPr>
            <w:tcW w:type="dxa" w:w="2000"/>
            <w:tcMar>
              <w:top w:type="dxa" w:w="25"/>
              <w:left w:type="dxa" w:w="100"/>
              <w:bottom w:type="dxa" w:w="25"/>
              <w:right w:type="dxa" w:w="100"/>
            </w:tcMar>
          </w:tcPr>
          <w:p>
            <w:r>
              <w:rPr>
                <w:color w:val="000000"/>
                <w:sz w:val="20"/>
                <w:szCs w:val="20"/>
              </w:rPr>
              <w:t xml:space="preserve">0:30</w:t>
            </w:r>
          </w:p>
        </w:tc>
      </w:tr>
      <w:tr>
        <w:tc>
          <w:tcPr>
            <w:tcW w:type="dxa" w:w="900"/>
            <w:tcMar>
              <w:top w:type="dxa" w:w="25"/>
              <w:left w:type="dxa" w:w="100"/>
              <w:bottom w:type="dxa" w:w="25"/>
              <w:right w:type="dxa" w:w="100"/>
            </w:tcMar>
          </w:tcPr>
          <w:p>
            <w:r>
              <w:rPr>
                <w:color w:val="000000"/>
                <w:sz w:val="20"/>
                <w:szCs w:val="20"/>
              </w:rPr>
              <w:t xml:space="preserve">25</w:t>
            </w:r>
          </w:p>
        </w:tc>
        <w:tc>
          <w:tcPr>
            <w:tcW w:type="dxa" w:w="6100"/>
            <w:tcMar>
              <w:top w:type="dxa" w:w="25"/>
              <w:left w:type="dxa" w:w="100"/>
              <w:bottom w:type="dxa" w:w="25"/>
              <w:right w:type="dxa" w:w="100"/>
            </w:tcMar>
          </w:tcPr>
          <w:p>
            <w:r>
              <w:rPr>
                <w:color w:val="000000"/>
                <w:sz w:val="20"/>
                <w:szCs w:val="20"/>
              </w:rPr>
              <w:t xml:space="preserve">Mensagens finais</w:t>
            </w:r>
          </w:p>
        </w:tc>
        <w:tc>
          <w:tcPr>
            <w:tcW w:type="dxa" w:w="2000"/>
            <w:tcMar>
              <w:top w:type="dxa" w:w="25"/>
              <w:left w:type="dxa" w:w="100"/>
              <w:bottom w:type="dxa" w:w="25"/>
              <w:right w:type="dxa" w:w="100"/>
            </w:tcMar>
          </w:tcPr>
          <w:p>
            <w:r>
              <w:rPr>
                <w:color w:val="000000"/>
                <w:sz w:val="20"/>
                <w:szCs w:val="20"/>
              </w:rPr>
              <w:t xml:space="preserve">0:45</w:t>
            </w:r>
          </w:p>
        </w:tc>
      </w:tr>
    </w:tbl>
    <w:p>
      <w:pPr>
        <w:pStyle w:val="Heading1"/>
        <w:pageBreakBefore/>
      </w:pPr>
      <w:r>
        <w:t xml:space="preserve">Guião por diapositivo</w:t>
      </w:r>
    </w:p>
    <w:p>
      <w:pPr>
        <w:pStyle w:val="Heading2"/>
        <w:keepNext/>
      </w:pPr>
      <w:r>
        <w:t xml:space="preserve">Diapositivo 1 — Capa</w:t>
      </w:r>
      <w:r>
        <w:rPr>
          <w:b w:val="false"/>
          <w:bCs w:val="false"/>
          <w:color w:val="777777"/>
        </w:rPr>
        <w:t xml:space="preserve">   (0:20)</w:t>
      </w:r>
    </w:p>
    <w:p>
      <w:pPr>
        <w:spacing w:after="120" w:line="300"/>
      </w:pPr>
      <w:r>
        <w:rPr>
          <w:sz w:val="23"/>
          <w:szCs w:val="23"/>
        </w:rPr>
        <w:t xml:space="preserve">Bom dia a todos. Chamo-me Beatriz e vou apresentar o tema dos agonistas do recetor GLP-1 e a prevenção do carcinoma do endométrio, que vai ser o tema de uma revisão sistemática com meta-análise, sob orientação da Professora Doutora Fernanda Santos.</w:t>
      </w:r>
    </w:p>
    <w:p>
      <w:pPr>
        <w:spacing w:after="200" w:before="80"/>
      </w:pPr>
      <w:r>
        <w:rPr>
          <w:b/>
          <w:bCs/>
          <w:i/>
          <w:iCs/>
          <w:color w:val="555555"/>
          <w:sz w:val="21"/>
          <w:szCs w:val="21"/>
        </w:rPr>
        <w:t xml:space="preserve">Transição: </w:t>
      </w:r>
      <w:r>
        <w:rPr>
          <w:i/>
          <w:iCs/>
          <w:color w:val="555555"/>
          <w:sz w:val="21"/>
          <w:szCs w:val="21"/>
        </w:rPr>
        <w:t xml:space="preserve">“Começo pela estrutura da apresentação.”</w:t>
      </w:r>
    </w:p>
    <w:p>
      <w:pPr>
        <w:pStyle w:val="Heading2"/>
        <w:keepNext/>
      </w:pPr>
      <w:r>
        <w:t xml:space="preserve">Diapositivo 2 — Índice</w:t>
      </w:r>
      <w:r>
        <w:rPr>
          <w:b w:val="false"/>
          <w:bCs w:val="false"/>
          <w:color w:val="777777"/>
        </w:rPr>
        <w:t xml:space="preserve">   (0:20)</w:t>
      </w:r>
    </w:p>
    <w:p>
      <w:pPr>
        <w:spacing w:after="120" w:line="300"/>
      </w:pPr>
      <w:r>
        <w:rPr>
          <w:sz w:val="23"/>
          <w:szCs w:val="23"/>
        </w:rPr>
        <w:t xml:space="preserve">A apresentação tem quatro partes. Primeiro, a contextualização: porque é que a obesidade importa no carcinoma do endométrio. Depois, o que são os agonistas do recetor GLP-1 e que fármacos existem. Em terceiro lugar, a evidência atual, apresentada por ordem de hierarquia: primeiro os ensaios aleatorizados, depois os estudos observacionais e só no fim os estudos pré-clínicos. Por fim, a proposta de revisão sistemática com meta-análise.</w:t>
      </w:r>
    </w:p>
    <w:p>
      <w:pPr>
        <w:spacing w:after="200" w:before="80"/>
      </w:pPr>
      <w:r>
        <w:rPr>
          <w:b/>
          <w:bCs/>
          <w:i/>
          <w:iCs/>
          <w:color w:val="555555"/>
          <w:sz w:val="21"/>
          <w:szCs w:val="21"/>
        </w:rPr>
        <w:t xml:space="preserve">Transição: </w:t>
      </w:r>
      <w:r>
        <w:rPr>
          <w:i/>
          <w:iCs/>
          <w:color w:val="555555"/>
          <w:sz w:val="21"/>
          <w:szCs w:val="21"/>
        </w:rPr>
        <w:t xml:space="preserve">“Começo então pela relação entre obesidade e cancro.”</w:t>
      </w:r>
    </w:p>
    <w:p>
      <w:pPr>
        <w:pStyle w:val="Heading2"/>
        <w:keepNext/>
      </w:pPr>
      <w:r>
        <w:t xml:space="preserve">Diapositivo 3 — Obesidade e cancro: um problema central em ginecologia</w:t>
      </w:r>
      <w:r>
        <w:rPr>
          <w:b w:val="false"/>
          <w:bCs w:val="false"/>
          <w:color w:val="777777"/>
        </w:rPr>
        <w:t xml:space="preserve">   (1:00)</w:t>
      </w:r>
    </w:p>
    <w:p>
      <w:pPr>
        <w:spacing w:after="120" w:line="300"/>
      </w:pPr>
      <w:r>
        <w:rPr>
          <w:sz w:val="23"/>
          <w:szCs w:val="23"/>
        </w:rPr>
        <w:t xml:space="preserve">A obesidade, a diabetes tipo 2 e a insulinorresistência levam a hiperinsulinemia. A insulina e o IGF-1 ativam a via PI3K–AKT–mTOR, que aumenta a proliferação e a sobrevivência celular.</w:t>
      </w:r>
    </w:p>
    <w:p>
      <w:pPr>
        <w:spacing w:after="120" w:line="300"/>
      </w:pPr>
      <w:r>
        <w:rPr>
          <w:sz w:val="23"/>
          <w:szCs w:val="23"/>
        </w:rPr>
        <w:t xml:space="preserve">Em paralelo, o tecido adiposo aumenta a aromatização periférica, o que na pós-menopausa significa exposição a estrogénios sem oposição pela progesterona, e mantém um estado de inflamação crónica.</w:t>
      </w:r>
    </w:p>
    <w:p>
      <w:pPr>
        <w:spacing w:after="120" w:line="300"/>
      </w:pPr>
      <w:r>
        <w:rPr>
          <w:sz w:val="23"/>
          <w:szCs w:val="23"/>
        </w:rPr>
        <w:t xml:space="preserve">No endométrio, isto traduz-se em proliferação, hiperplasia e, em última análise, carcinoma. O carcinoma do endométrio é o cancro com maior risco relativo associado à obesidade.</w:t>
      </w:r>
    </w:p>
    <w:p>
      <w:pPr>
        <w:spacing w:after="120" w:line="300"/>
      </w:pPr>
      <w:r>
        <w:rPr>
          <w:sz w:val="23"/>
          <w:szCs w:val="23"/>
        </w:rPr>
        <w:t xml:space="preserve">A pergunta que se coloca é: se os agonistas GLP-1 atuam precisamente sobre o peso, a insulina e a inflamação, poderão modificar estes fatores?</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CE = o cancro com maior risco relativo associado à obesidade</w:t>
      </w:r>
    </w:p>
    <w:p>
      <w:pPr>
        <w:spacing w:after="200" w:before="80"/>
      </w:pPr>
      <w:r>
        <w:rPr>
          <w:b/>
          <w:bCs/>
          <w:i/>
          <w:iCs/>
          <w:color w:val="555555"/>
          <w:sz w:val="21"/>
          <w:szCs w:val="21"/>
        </w:rPr>
        <w:t xml:space="preserve">Transição: </w:t>
      </w:r>
      <w:r>
        <w:rPr>
          <w:i/>
          <w:iCs/>
          <w:color w:val="555555"/>
          <w:sz w:val="21"/>
          <w:szCs w:val="21"/>
        </w:rPr>
        <w:t xml:space="preserve">“Vejamos então como atuam estes fármacos.”</w:t>
      </w:r>
    </w:p>
    <w:p>
      <w:pPr>
        <w:pStyle w:val="Heading2"/>
        <w:keepNext/>
      </w:pPr>
      <w:r>
        <w:t xml:space="preserve">Diapositivo 4 — Mecanismo de ação</w:t>
      </w:r>
      <w:r>
        <w:rPr>
          <w:b w:val="false"/>
          <w:bCs w:val="false"/>
          <w:color w:val="777777"/>
        </w:rPr>
        <w:t xml:space="preserve">   (0:45)</w:t>
      </w:r>
    </w:p>
    <w:p>
      <w:pPr>
        <w:spacing w:after="120" w:line="300"/>
      </w:pPr>
      <w:r>
        <w:rPr>
          <w:sz w:val="23"/>
          <w:szCs w:val="23"/>
        </w:rPr>
        <w:t xml:space="preserve">Os agonistas do recetor GLP-1 imitam a hormona incretina GLP-1, mas são resistentes à degradação pela DPP-4. Amplificam a secreção de insulina dependente da glicose, inibem a libertação de glucagon, atrasam o esvaziamento gástrico e, a nível central, reduzem o apetite.</w:t>
      </w:r>
    </w:p>
    <w:p>
      <w:pPr>
        <w:spacing w:after="120" w:line="300"/>
      </w:pPr>
      <w:r>
        <w:rPr>
          <w:sz w:val="23"/>
          <w:szCs w:val="23"/>
        </w:rPr>
        <w:t xml:space="preserve">O resultado é uma melhoria do ambiente metabólico sistémico: é este o efeito indireto que poderá ser relevante para o endométrio.</w:t>
      </w:r>
    </w:p>
    <w:p>
      <w:pPr>
        <w:spacing w:after="200" w:before="80"/>
      </w:pPr>
      <w:r>
        <w:rPr>
          <w:b/>
          <w:bCs/>
          <w:i/>
          <w:iCs/>
          <w:color w:val="555555"/>
          <w:sz w:val="21"/>
          <w:szCs w:val="21"/>
        </w:rPr>
        <w:t xml:space="preserve">Transição: </w:t>
      </w:r>
      <w:r>
        <w:rPr>
          <w:i/>
          <w:iCs/>
          <w:color w:val="555555"/>
          <w:sz w:val="21"/>
          <w:szCs w:val="21"/>
        </w:rPr>
        <w:t xml:space="preserve">“Que fármacos estão disponíveis?”</w:t>
      </w:r>
    </w:p>
    <w:p>
      <w:pPr>
        <w:pStyle w:val="Heading2"/>
        <w:keepNext/>
      </w:pPr>
      <w:r>
        <w:t xml:space="preserve">Diapositivo 5 — Fármacos incluídos</w:t>
      </w:r>
      <w:r>
        <w:rPr>
          <w:b w:val="false"/>
          <w:bCs w:val="false"/>
          <w:color w:val="777777"/>
        </w:rPr>
        <w:t xml:space="preserve">   (1:00)</w:t>
      </w:r>
    </w:p>
    <w:p>
      <w:pPr>
        <w:spacing w:after="120" w:line="300"/>
      </w:pPr>
      <w:r>
        <w:rPr>
          <w:sz w:val="23"/>
          <w:szCs w:val="23"/>
        </w:rPr>
        <w:t xml:space="preserve">Para a revisão, definimos a exposição como agonistas do recetor GLP-1, incluindo agonistas duplos e triplos. Temos os de ação curta, como o exenatido e o lixisenatido, e os de ação longa: liraglutido, dulaglutido, exenatido de libertação prolongada e semaglutido, este último também disponível por via oral.</w:t>
      </w:r>
    </w:p>
    <w:p>
      <w:pPr>
        <w:spacing w:after="120" w:line="300"/>
      </w:pPr>
      <w:r>
        <w:rPr>
          <w:sz w:val="23"/>
          <w:szCs w:val="23"/>
        </w:rPr>
        <w:t xml:space="preserve">Incluímos ainda o PEG-loxenatido, aprovado apenas na China e usado no ensaio NCT05172999, a tirzepatida, que é um agonista duplo GIP/GLP-1, e a retatrutida, um agonista triplo GIP/GLP-1/glucagon, ainda em investigação e não aprovado.</w:t>
      </w:r>
    </w:p>
    <w:p>
      <w:pPr>
        <w:spacing w:after="120" w:line="300"/>
      </w:pPr>
      <w:r>
        <w:rPr>
          <w:sz w:val="23"/>
          <w:szCs w:val="23"/>
        </w:rPr>
        <w:t xml:space="preserve">Fazemos isto para manter a coerência: estes fármacos aparecem nos estudos que vou mostrar, por isso têm de estar nos critérios de inclusão.</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Definição: “agonistas do recetor GLP-1, incluindo agonistas duplos e triplos”</w:t>
      </w:r>
    </w:p>
    <w:p>
      <w:pPr>
        <w:pStyle w:val="ListParagraph"/>
        <w:numPr>
          <w:ilvl w:val="0"/>
          <w:numId w:val="2"/>
        </w:numPr>
        <w:spacing w:after="60"/>
      </w:pPr>
      <w:r>
        <w:rPr>
          <w:sz w:val="22"/>
          <w:szCs w:val="22"/>
        </w:rPr>
        <w:t xml:space="preserve">Retatrutida não está aprovada</w:t>
      </w:r>
    </w:p>
    <w:p>
      <w:pPr>
        <w:spacing w:after="200" w:before="80"/>
      </w:pPr>
      <w:r>
        <w:rPr>
          <w:b/>
          <w:bCs/>
          <w:i/>
          <w:iCs/>
          <w:color w:val="555555"/>
          <w:sz w:val="21"/>
          <w:szCs w:val="21"/>
        </w:rPr>
        <w:t xml:space="preserve">Transição: </w:t>
      </w:r>
      <w:r>
        <w:rPr>
          <w:i/>
          <w:iCs/>
          <w:color w:val="555555"/>
          <w:sz w:val="21"/>
          <w:szCs w:val="21"/>
        </w:rPr>
        <w:t xml:space="preserve">“Em termos de benefícios clínicos…”</w:t>
      </w:r>
    </w:p>
    <w:p>
      <w:pPr>
        <w:pStyle w:val="Heading2"/>
        <w:keepNext/>
      </w:pPr>
      <w:r>
        <w:t xml:space="preserve">Diapositivo 6 — Benefícios</w:t>
      </w:r>
      <w:r>
        <w:rPr>
          <w:b w:val="false"/>
          <w:bCs w:val="false"/>
          <w:color w:val="777777"/>
        </w:rPr>
        <w:t xml:space="preserve">   (0:50)</w:t>
      </w:r>
    </w:p>
    <w:p>
      <w:pPr>
        <w:spacing w:after="120" w:line="300"/>
      </w:pPr>
      <w:r>
        <w:rPr>
          <w:sz w:val="23"/>
          <w:szCs w:val="23"/>
        </w:rPr>
        <w:t xml:space="preserve">O benefício mais visível é a perda de peso. Nos ensaios de referência, a perda ponderal média foi de cerca de 8% com liraglutido 3 mg no ensaio SCALE, 14,9% com semaglutido 2,4 mg no STEP 1 e 20,9% com tirzepatida 15 mg no SURMOUNT-1, contra 2 a 3% com placebo.</w:t>
      </w:r>
    </w:p>
    <w:p>
      <w:pPr>
        <w:spacing w:after="120" w:line="300"/>
      </w:pPr>
      <w:r>
        <w:rPr>
          <w:sz w:val="23"/>
          <w:szCs w:val="23"/>
        </w:rPr>
        <w:t xml:space="preserve">Para além disso, melhoram o controlo glicémico, têm benefício cardiovascular e renal, reduzem a gravidade da apneia do sono e diminuem a inflamação crónica de baixo grau, que é uma via biologicamente associada à carcinogénese.</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8,0% (SCALE) · 14,9% (STEP 1) · 20,9% (SURMOUNT-1)</w:t>
      </w:r>
    </w:p>
    <w:p>
      <w:pPr>
        <w:pStyle w:val="ListParagraph"/>
        <w:numPr>
          <w:ilvl w:val="0"/>
          <w:numId w:val="2"/>
        </w:numPr>
        <w:spacing w:after="60"/>
      </w:pPr>
      <w:r>
        <w:rPr>
          <w:sz w:val="22"/>
          <w:szCs w:val="22"/>
        </w:rPr>
        <w:t xml:space="preserve">Ensaios com durações diferentes (56, 68, 72 semanas) – não é comparação direta</w:t>
      </w:r>
    </w:p>
    <w:p>
      <w:pPr>
        <w:spacing w:after="200" w:before="80"/>
      </w:pPr>
      <w:r>
        <w:rPr>
          <w:b/>
          <w:bCs/>
          <w:i/>
          <w:iCs/>
          <w:color w:val="555555"/>
          <w:sz w:val="21"/>
          <w:szCs w:val="21"/>
        </w:rPr>
        <w:t xml:space="preserve">Transição: </w:t>
      </w:r>
      <w:r>
        <w:rPr>
          <w:i/>
          <w:iCs/>
          <w:color w:val="555555"/>
          <w:sz w:val="21"/>
          <w:szCs w:val="21"/>
        </w:rPr>
        <w:t xml:space="preserve">“Naturalmente, também têm efeitos adversos.”</w:t>
      </w:r>
    </w:p>
    <w:p>
      <w:pPr>
        <w:pStyle w:val="Heading2"/>
        <w:keepNext/>
      </w:pPr>
      <w:r>
        <w:t xml:space="preserve">Diapositivo 7 — Efeitos adversos</w:t>
      </w:r>
      <w:r>
        <w:rPr>
          <w:b w:val="false"/>
          <w:bCs w:val="false"/>
          <w:color w:val="777777"/>
        </w:rPr>
        <w:t xml:space="preserve">   (0:30)</w:t>
      </w:r>
    </w:p>
    <w:p>
      <w:pPr>
        <w:spacing w:after="120" w:line="300"/>
      </w:pPr>
      <w:r>
        <w:rPr>
          <w:sz w:val="23"/>
          <w:szCs w:val="23"/>
        </w:rPr>
        <w:t xml:space="preserve">Os efeitos mais comuns são gastrointestinais: náuseas, vómitos, diarreia e obstipação. Os graves são raros: litíase biliar, pancreatite, retinopatia e o carcinoma medular da tiroide, cujo sinal vem sobretudo de estudos em roedores. A titulação da dose é essencial e a tolerabilidade pode limitar a adesão.</w:t>
      </w:r>
    </w:p>
    <w:p>
      <w:pPr>
        <w:spacing w:after="200" w:before="80"/>
      </w:pPr>
      <w:r>
        <w:rPr>
          <w:b/>
          <w:bCs/>
          <w:i/>
          <w:iCs/>
          <w:color w:val="555555"/>
          <w:sz w:val="21"/>
          <w:szCs w:val="21"/>
        </w:rPr>
        <w:t xml:space="preserve">Transição: </w:t>
      </w:r>
      <w:r>
        <w:rPr>
          <w:i/>
          <w:iCs/>
          <w:color w:val="555555"/>
          <w:sz w:val="21"/>
          <w:szCs w:val="21"/>
        </w:rPr>
        <w:t xml:space="preserve">“Passo agora à parte central: o que diz a evidência sobre cancro.”</w:t>
      </w:r>
    </w:p>
    <w:p>
      <w:pPr>
        <w:pStyle w:val="Heading2"/>
        <w:keepNext/>
      </w:pPr>
      <w:r>
        <w:t xml:space="preserve">Diapositivo 8 — Hierarquia da evidência</w:t>
      </w:r>
      <w:r>
        <w:rPr>
          <w:b w:val="false"/>
          <w:bCs w:val="false"/>
          <w:color w:val="777777"/>
        </w:rPr>
        <w:t xml:space="preserve">   (0:45)</w:t>
      </w:r>
    </w:p>
    <w:p>
      <w:pPr>
        <w:spacing w:after="120" w:line="300"/>
      </w:pPr>
      <w:r>
        <w:rPr>
          <w:sz w:val="23"/>
          <w:szCs w:val="23"/>
        </w:rPr>
        <w:t xml:space="preserve">Vou apresentar a evidência por ordem de robustez. No topo, as meta-análises de ensaios aleatorizados. Depois, as revisões sistemáticas de estudos observacionais. A seguir, as coortes com desenho de comparador ativo e novo utilizador, que são as mais robustas entre os observacionais. Depois, as coortes que comparam com não-utilizadores ou outros comparadores. E na base, os estudos pré-clínicos, que dão plausibilidade biológica mas não vão entrar na meta-análise.</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A ordem da apresentação segue a hierarquia</w:t>
      </w:r>
    </w:p>
    <w:p>
      <w:pPr>
        <w:spacing w:after="200" w:before="80"/>
      </w:pPr>
      <w:r>
        <w:rPr>
          <w:b/>
          <w:bCs/>
          <w:i/>
          <w:iCs/>
          <w:color w:val="555555"/>
          <w:sz w:val="21"/>
          <w:szCs w:val="21"/>
        </w:rPr>
        <w:t xml:space="preserve">Transição: </w:t>
      </w:r>
      <w:r>
        <w:rPr>
          <w:i/>
          <w:iCs/>
          <w:color w:val="555555"/>
          <w:sz w:val="21"/>
          <w:szCs w:val="21"/>
        </w:rPr>
        <w:t xml:space="preserve">“Começo pelo topo: os ensaios aleatorizados.”</w:t>
      </w:r>
    </w:p>
    <w:p>
      <w:pPr>
        <w:pStyle w:val="Heading2"/>
        <w:keepNext/>
      </w:pPr>
      <w:r>
        <w:t xml:space="preserve">Diapositivo 9 — Evidência de ensaios aleatorizados</w:t>
      </w:r>
      <w:r>
        <w:rPr>
          <w:b w:val="false"/>
          <w:bCs w:val="false"/>
          <w:color w:val="777777"/>
        </w:rPr>
        <w:t xml:space="preserve">   (1:15)</w:t>
      </w:r>
    </w:p>
    <w:p>
      <w:pPr>
        <w:spacing w:after="120" w:line="300"/>
      </w:pPr>
      <w:r>
        <w:rPr>
          <w:sz w:val="23"/>
          <w:szCs w:val="23"/>
        </w:rPr>
        <w:t xml:space="preserve">A meta-análise de Ko e colaboradores, publicada nos Annals of Internal Medicine, incluiu 48 ensaios controlados com placebo e mais de 94 mil participantes. Para tiroide, pâncreas, mama e rim, há pouco ou nenhum efeito, com certeza moderada. Para o carcinoma do endométrio, não se demonstrou efeito, e a certeza é baixa.</w:t>
      </w:r>
    </w:p>
    <w:p>
      <w:pPr>
        <w:spacing w:after="120" w:line="300"/>
      </w:pPr>
      <w:r>
        <w:rPr>
          <w:sz w:val="23"/>
          <w:szCs w:val="23"/>
        </w:rPr>
        <w:t xml:space="preserve">Uma meta-análise em rede publicada no Journal of Hematology &amp; Oncology em 2025, com 91 ensaios, avaliou tumores ginecológicos com GLP-1RA e inibidores SGLT2, por fármaco e dose. Para a maioria dos fármacos não houve aumento de risco. Houve um sinal isolado com tirzepatida 15 mg para tumores uterinos, com OR de 5,65, mas com um intervalo de confiança muito largo, de 1,21 a 26,5.</w:t>
      </w:r>
    </w:p>
    <w:p>
      <w:pPr>
        <w:spacing w:after="120" w:line="300"/>
      </w:pPr>
      <w:r>
        <w:rPr>
          <w:sz w:val="23"/>
          <w:szCs w:val="23"/>
        </w:rPr>
        <w:t xml:space="preserve">A grande limitação é que estes ensaios não foram desenhados para avaliar cancro: o seguimento é curto, cerca de 70 semanas, e há poucos eventos.</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Ko: CE sem efeito demonstrado, certeza baixa</w:t>
      </w:r>
    </w:p>
    <w:p>
      <w:pPr>
        <w:pStyle w:val="ListParagraph"/>
        <w:numPr>
          <w:ilvl w:val="0"/>
          <w:numId w:val="2"/>
        </w:numPr>
        <w:spacing w:after="60"/>
      </w:pPr>
      <w:r>
        <w:rPr>
          <w:sz w:val="22"/>
          <w:szCs w:val="22"/>
        </w:rPr>
        <w:t xml:space="preserve">JHO: tirzepatida 15 mg OR 5,65 (1,21–26,50) – sinal isolado</w:t>
      </w:r>
    </w:p>
    <w:p>
      <w:pPr>
        <w:spacing w:after="200" w:before="80"/>
      </w:pPr>
      <w:r>
        <w:rPr>
          <w:b/>
          <w:bCs/>
          <w:i/>
          <w:iCs/>
          <w:color w:val="555555"/>
          <w:sz w:val="21"/>
          <w:szCs w:val="21"/>
        </w:rPr>
        <w:t xml:space="preserve">Transição: </w:t>
      </w:r>
      <w:r>
        <w:rPr>
          <w:i/>
          <w:iCs/>
          <w:color w:val="555555"/>
          <w:sz w:val="21"/>
          <w:szCs w:val="21"/>
        </w:rPr>
        <w:t xml:space="preserve">“Desço agora para a evidência observacional sintetizada.”</w:t>
      </w:r>
    </w:p>
    <w:p>
      <w:pPr>
        <w:pStyle w:val="Heading2"/>
        <w:keepNext/>
      </w:pPr>
      <w:r>
        <w:t xml:space="preserve">Diapositivo 10 — Revisão sistemática em doentes com DM2</w:t>
      </w:r>
      <w:r>
        <w:rPr>
          <w:b w:val="false"/>
          <w:bCs w:val="false"/>
          <w:color w:val="777777"/>
        </w:rPr>
        <w:t xml:space="preserve">   (0:45)</w:t>
      </w:r>
    </w:p>
    <w:p>
      <w:pPr>
        <w:spacing w:after="120" w:line="300"/>
      </w:pPr>
      <w:r>
        <w:rPr>
          <w:sz w:val="23"/>
          <w:szCs w:val="23"/>
        </w:rPr>
        <w:t xml:space="preserve">Uma revisão sistemática em doentes com diabetes tipo 2 encontrou uma redução global modesta do risco de cancro, com HR de 0,86 e intervalo de confiança de 0,74 a 0,99.</w:t>
      </w:r>
    </w:p>
    <w:p>
      <w:pPr>
        <w:spacing w:after="120" w:line="300"/>
      </w:pPr>
      <w:r>
        <w:rPr>
          <w:sz w:val="23"/>
          <w:szCs w:val="23"/>
        </w:rPr>
        <w:t xml:space="preserve">Mas é preciso ler com cuidado: são apenas dados observacionais, a heterogeneidade é muito elevada, com I² de cerca de 94%, e o limite superior do intervalo está muito próximo de 1. No endométrio, a maioria dos estudos favorece a redução do risco, mas os resultados não são consistentes.</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HR 0,86 (0,74–0,99) – redução modesta, I² ≈ 94%</w:t>
      </w:r>
    </w:p>
    <w:p>
      <w:pPr>
        <w:spacing w:after="200" w:before="80"/>
      </w:pPr>
      <w:r>
        <w:rPr>
          <w:b/>
          <w:bCs/>
          <w:i/>
          <w:iCs/>
          <w:color w:val="555555"/>
          <w:sz w:val="21"/>
          <w:szCs w:val="21"/>
        </w:rPr>
        <w:t xml:space="preserve">Transição: </w:t>
      </w:r>
      <w:r>
        <w:rPr>
          <w:i/>
          <w:iCs/>
          <w:color w:val="555555"/>
          <w:sz w:val="21"/>
          <w:szCs w:val="21"/>
        </w:rPr>
        <w:t xml:space="preserve">“E é aqui que entra o estudo que considero o mais importante.”</w:t>
      </w:r>
    </w:p>
    <w:p>
      <w:pPr>
        <w:pStyle w:val="Heading2"/>
        <w:keepNext/>
      </w:pPr>
      <w:r>
        <w:t xml:space="preserve">Diapositivo 11 — Rothman et al., 2025 – o desenho observacional mais robusto</w:t>
      </w:r>
      <w:r>
        <w:rPr>
          <w:b w:val="false"/>
          <w:bCs w:val="false"/>
          <w:color w:val="777777"/>
        </w:rPr>
        <w:t xml:space="preserve">   (1:30)</w:t>
      </w:r>
    </w:p>
    <w:p>
      <w:pPr>
        <w:spacing w:after="120" w:line="300"/>
      </w:pPr>
      <w:r>
        <w:rPr>
          <w:sz w:val="23"/>
          <w:szCs w:val="23"/>
        </w:rPr>
        <w:t xml:space="preserve">O estudo de Rothman e colaboradores, publicado na Drug Safety em 2025, é o único com desenho de comparador ativo e novo utilizador. Usou a base de dados britânica CPRD e comparou mulheres com diabetes tipo 2 que iniciaram GLP-1RA, cerca de 9 200, com mulheres que iniciaram sulfonilureias, cerca de 80 mil.</w:t>
      </w:r>
    </w:p>
    <w:p>
      <w:pPr>
        <w:spacing w:after="120" w:line="300"/>
      </w:pPr>
      <w:r>
        <w:rPr>
          <w:sz w:val="23"/>
          <w:szCs w:val="23"/>
        </w:rPr>
        <w:t xml:space="preserve">Este desenho é importante porque compara doentes com a mesma indicação, no mesmo momento da doença, o que reduz o viés de indicação e o viés do utilizador prevalente.</w:t>
      </w:r>
    </w:p>
    <w:p>
      <w:pPr>
        <w:spacing w:after="120" w:line="300"/>
      </w:pPr>
      <w:r>
        <w:rPr>
          <w:sz w:val="23"/>
          <w:szCs w:val="23"/>
        </w:rPr>
        <w:t xml:space="preserve">O resultado global é nulo: HR de 1,11, com intervalo de 0,66 a 1,88. Ou seja, não há proteção.</w:t>
      </w:r>
    </w:p>
    <w:p>
      <w:pPr>
        <w:spacing w:after="120" w:line="300"/>
      </w:pPr>
      <w:r>
        <w:rPr>
          <w:sz w:val="23"/>
          <w:szCs w:val="23"/>
        </w:rPr>
        <w:t xml:space="preserve">Mais importante: na análise por duração, o uso superior a dois anos associou-se a um aumento do risco, com HR de 2,47 e intervalo de 1,37 a 4,43. É uma análise secundária, com poucos eventos, e deve ser confirmada. Mas não pode ser escondida, porque vai exatamente no sentido contrário ao da hipótese de prevenção.</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HR 1,11 (0,66–1,88) global</w:t>
      </w:r>
    </w:p>
    <w:p>
      <w:pPr>
        <w:pStyle w:val="ListParagraph"/>
        <w:numPr>
          <w:ilvl w:val="0"/>
          <w:numId w:val="2"/>
        </w:numPr>
        <w:spacing w:after="60"/>
      </w:pPr>
      <w:r>
        <w:rPr>
          <w:sz w:val="22"/>
          <w:szCs w:val="22"/>
        </w:rPr>
        <w:t xml:space="preserve">HR 2,47 (1,37–4,43) se &gt; 2 anos</w:t>
      </w:r>
    </w:p>
    <w:p>
      <w:pPr>
        <w:pStyle w:val="ListParagraph"/>
        <w:numPr>
          <w:ilvl w:val="0"/>
          <w:numId w:val="2"/>
        </w:numPr>
        <w:spacing w:after="60"/>
      </w:pPr>
      <w:r>
        <w:rPr>
          <w:sz w:val="22"/>
          <w:szCs w:val="22"/>
        </w:rPr>
        <w:t xml:space="preserve">Único estudo com comparador ativo + novo utilizador</w:t>
      </w:r>
    </w:p>
    <w:p>
      <w:pPr>
        <w:spacing w:after="200" w:before="80"/>
      </w:pPr>
      <w:r>
        <w:rPr>
          <w:b/>
          <w:bCs/>
          <w:i/>
          <w:iCs/>
          <w:color w:val="555555"/>
          <w:sz w:val="21"/>
          <w:szCs w:val="21"/>
        </w:rPr>
        <w:t xml:space="preserve">Transição: </w:t>
      </w:r>
      <w:r>
        <w:rPr>
          <w:i/>
          <w:iCs/>
          <w:color w:val="555555"/>
          <w:sz w:val="21"/>
          <w:szCs w:val="21"/>
        </w:rPr>
        <w:t xml:space="preserve">“Vejamos agora as coortes com outros comparadores.”</w:t>
      </w:r>
    </w:p>
    <w:p>
      <w:pPr>
        <w:pStyle w:val="Heading2"/>
        <w:keepNext/>
      </w:pPr>
      <w:r>
        <w:t xml:space="preserve">Diapositivo 12 — Wang et al., 2024</w:t>
      </w:r>
      <w:r>
        <w:rPr>
          <w:b w:val="false"/>
          <w:bCs w:val="false"/>
          <w:color w:val="777777"/>
        </w:rPr>
        <w:t xml:space="preserve">   (0:50)</w:t>
      </w:r>
    </w:p>
    <w:p>
      <w:pPr>
        <w:spacing w:after="120" w:line="300"/>
      </w:pPr>
      <w:r>
        <w:rPr>
          <w:sz w:val="23"/>
          <w:szCs w:val="23"/>
        </w:rPr>
        <w:t xml:space="preserve">O estudo de Wang, publicado na JAMA Network Open em 2024, incluiu 1,6 milhões de doentes com diabetes tipo 2. Comparados com a insulina, os GLP-1RA associaram-se a menor risco em 10 dos 13 cancros associados à obesidade, incluindo o endométrio, com HR de 0,74.</w:t>
      </w:r>
    </w:p>
    <w:p>
      <w:pPr>
        <w:spacing w:after="120" w:line="300"/>
      </w:pPr>
      <w:r>
        <w:rPr>
          <w:sz w:val="23"/>
          <w:szCs w:val="23"/>
        </w:rPr>
        <w:t xml:space="preserve">Mas, comparados com a metformina, não houve redução significativa. E a insulina é um comparador problemático, porque ela própria pode ter um efeito pró-proliferativo, o que pode inflacionar o benefício aparente.</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vs insulina: CE HR 0,74 (0,60–0,91)</w:t>
      </w:r>
    </w:p>
    <w:p>
      <w:pPr>
        <w:pStyle w:val="ListParagraph"/>
        <w:numPr>
          <w:ilvl w:val="0"/>
          <w:numId w:val="2"/>
        </w:numPr>
        <w:spacing w:after="60"/>
      </w:pPr>
      <w:r>
        <w:rPr>
          <w:sz w:val="22"/>
          <w:szCs w:val="22"/>
        </w:rPr>
        <w:t xml:space="preserve">vs metformina: sem redução significativa</w:t>
      </w:r>
    </w:p>
    <w:p>
      <w:pPr>
        <w:spacing w:after="200" w:before="80"/>
      </w:pPr>
      <w:r>
        <w:rPr>
          <w:b/>
          <w:bCs/>
          <w:i/>
          <w:iCs/>
          <w:color w:val="555555"/>
          <w:sz w:val="21"/>
          <w:szCs w:val="21"/>
        </w:rPr>
        <w:t xml:space="preserve">Transição: </w:t>
      </w:r>
      <w:r>
        <w:rPr>
          <w:i/>
          <w:iCs/>
          <w:color w:val="555555"/>
          <w:sz w:val="21"/>
          <w:szCs w:val="21"/>
        </w:rPr>
        <w:t xml:space="preserve">“O estudo de Dai vai na mesma linha.”</w:t>
      </w:r>
    </w:p>
    <w:p>
      <w:pPr>
        <w:pStyle w:val="Heading2"/>
        <w:keepNext/>
      </w:pPr>
      <w:r>
        <w:t xml:space="preserve">Diapositivo 13 — Dai et al., 2025</w:t>
      </w:r>
      <w:r>
        <w:rPr>
          <w:b w:val="false"/>
          <w:bCs w:val="false"/>
          <w:color w:val="777777"/>
        </w:rPr>
        <w:t xml:space="preserve">   (1:15)</w:t>
      </w:r>
    </w:p>
    <w:p>
      <w:pPr>
        <w:spacing w:after="120" w:line="300"/>
      </w:pPr>
      <w:r>
        <w:rPr>
          <w:sz w:val="23"/>
          <w:szCs w:val="23"/>
        </w:rPr>
        <w:t xml:space="preserve">O estudo de Dai, publicado na JAMA Oncology em 2025, incluiu cerca de 86 mil adultos com obesidade na rede OneFlorida+. É essencial perceber que o comparador são não-utilizadores, emparelhados por propensity score, e não outro fármaco.</w:t>
      </w:r>
    </w:p>
    <w:p>
      <w:pPr>
        <w:spacing w:after="120" w:line="300"/>
      </w:pPr>
      <w:r>
        <w:rPr>
          <w:sz w:val="23"/>
          <w:szCs w:val="23"/>
        </w:rPr>
        <w:t xml:space="preserve">Encontrou uma redução global de 17% no risco de cancro e, no endométrio, um HR de 0,75, com o limite superior do intervalo praticamente em 1.</w:t>
      </w:r>
    </w:p>
    <w:p>
      <w:pPr>
        <w:spacing w:after="120" w:line="300"/>
      </w:pPr>
      <w:r>
        <w:rPr>
          <w:sz w:val="23"/>
          <w:szCs w:val="23"/>
        </w:rPr>
        <w:t xml:space="preserve">Dois pontos críticos. Primeiro, o rim: o HR é 1,38, mas o intervalo vai de 0,99 a 1,93, inclui o 1, portanto não há associação significativa. Segundo, o ovário: uma redução de 47% num tumor que está fracamente associado à obesidade não é plausível como efeito do fármaco. Deve ser lida como um sinal de confundimento residual, e isso também nos obriga a ser cautelosos com o resultado no endométrio.</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Comparador = NÃO-utilizadores</w:t>
      </w:r>
    </w:p>
    <w:p>
      <w:pPr>
        <w:pStyle w:val="ListParagraph"/>
        <w:numPr>
          <w:ilvl w:val="0"/>
          <w:numId w:val="2"/>
        </w:numPr>
        <w:spacing w:after="60"/>
      </w:pPr>
      <w:r>
        <w:rPr>
          <w:sz w:val="22"/>
          <w:szCs w:val="22"/>
        </w:rPr>
        <w:t xml:space="preserve">Rim: sem associação significativa</w:t>
      </w:r>
    </w:p>
    <w:p>
      <w:pPr>
        <w:pStyle w:val="ListParagraph"/>
        <w:numPr>
          <w:ilvl w:val="0"/>
          <w:numId w:val="2"/>
        </w:numPr>
        <w:spacing w:after="60"/>
      </w:pPr>
      <w:r>
        <w:rPr>
          <w:sz w:val="22"/>
          <w:szCs w:val="22"/>
        </w:rPr>
        <w:t xml:space="preserve">Ovário −47% = sinal de confundimento</w:t>
      </w:r>
    </w:p>
    <w:p>
      <w:pPr>
        <w:spacing w:after="200" w:before="80"/>
      </w:pPr>
      <w:r>
        <w:rPr>
          <w:b/>
          <w:bCs/>
          <w:i/>
          <w:iCs/>
          <w:color w:val="555555"/>
          <w:sz w:val="21"/>
          <w:szCs w:val="21"/>
        </w:rPr>
        <w:t xml:space="preserve">Transição: </w:t>
      </w:r>
      <w:r>
        <w:rPr>
          <w:i/>
          <w:iCs/>
          <w:color w:val="555555"/>
          <w:sz w:val="21"/>
          <w:szCs w:val="21"/>
        </w:rPr>
        <w:t xml:space="preserve">“O estudo de Yen levanta o mesmo problema, de forma ainda mais marcada.”</w:t>
      </w:r>
    </w:p>
    <w:p>
      <w:pPr>
        <w:pStyle w:val="Heading2"/>
        <w:keepNext/>
      </w:pPr>
      <w:r>
        <w:t xml:space="preserve">Diapositivo 14 — Yen et al., 2026</w:t>
      </w:r>
      <w:r>
        <w:rPr>
          <w:b w:val="false"/>
          <w:bCs w:val="false"/>
          <w:color w:val="777777"/>
        </w:rPr>
        <w:t xml:space="preserve">   (1:30)</w:t>
      </w:r>
    </w:p>
    <w:p>
      <w:pPr>
        <w:spacing w:after="120" w:line="300"/>
      </w:pPr>
      <w:r>
        <w:rPr>
          <w:sz w:val="23"/>
          <w:szCs w:val="23"/>
        </w:rPr>
        <w:t xml:space="preserve">O estudo de Yen, publicado na JAMA Network Open em 2026, usou a rede TriNetX e avaliou mulheres com patologia uterina benigna tratadas com progestativo, com ou sem GLP-1RA.</w:t>
      </w:r>
    </w:p>
    <w:p>
      <w:pPr>
        <w:spacing w:after="120" w:line="300"/>
      </w:pPr>
      <w:r>
        <w:rPr>
          <w:sz w:val="23"/>
          <w:szCs w:val="23"/>
        </w:rPr>
        <w:t xml:space="preserve">A população é sobretudo de baixo risco: hemorragia uterina anómala, leiomioma submucoso, pólipo endometrial ou hiperplasia simples.</w:t>
      </w:r>
    </w:p>
    <w:p>
      <w:pPr>
        <w:spacing w:after="120" w:line="300"/>
      </w:pPr>
      <w:r>
        <w:rPr>
          <w:sz w:val="23"/>
          <w:szCs w:val="23"/>
        </w:rPr>
        <w:t xml:space="preserve">A associação de GLP-1RA ao progestativo associou-se a um HR de 0,34 face ao progestativo isolado e de 0,30 face à metformina associada a progestativo.</w:t>
      </w:r>
    </w:p>
    <w:p>
      <w:pPr>
        <w:spacing w:after="120" w:line="300"/>
      </w:pPr>
      <w:r>
        <w:rPr>
          <w:sz w:val="23"/>
          <w:szCs w:val="23"/>
        </w:rPr>
        <w:t xml:space="preserve">Uma redução de 66% numa população jovem e de baixo risco é biologicamente implausível sem confundimento residual. As mulheres que recebem GLP-1RA diferem no IMC, no acesso a cuidados, na vigilância e no próprio perfil de saúde.</w:t>
      </w:r>
    </w:p>
    <w:p>
      <w:pPr>
        <w:spacing w:after="120" w:line="300"/>
      </w:pPr>
      <w:r>
        <w:rPr>
          <w:sz w:val="23"/>
          <w:szCs w:val="23"/>
        </w:rPr>
        <w:t xml:space="preserve">Uma nota importante: estes números são os do artigo publicado. Existia um resumo prévio, apresentado no congresso da SGO em 2025, com resultados diferentes, e em que os próprios autores referiam que a redução não se observava nas doentes com hiperplasia ou pólipos. Por isso cito apenas o artigo publicado.</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HR 0,34 (0,27–0,44) vs progestativo</w:t>
      </w:r>
    </w:p>
    <w:p>
      <w:pPr>
        <w:pStyle w:val="ListParagraph"/>
        <w:numPr>
          <w:ilvl w:val="0"/>
          <w:numId w:val="2"/>
        </w:numPr>
        <w:spacing w:after="60"/>
      </w:pPr>
      <w:r>
        <w:rPr>
          <w:sz w:val="22"/>
          <w:szCs w:val="22"/>
        </w:rPr>
        <w:t xml:space="preserve">HR 0,30 (0,15–0,59) vs metformina + progestativo</w:t>
      </w:r>
    </w:p>
    <w:p>
      <w:pPr>
        <w:pStyle w:val="ListParagraph"/>
        <w:numPr>
          <w:ilvl w:val="0"/>
          <w:numId w:val="2"/>
        </w:numPr>
        <w:spacing w:after="60"/>
      </w:pPr>
      <w:r>
        <w:rPr>
          <w:sz w:val="22"/>
          <w:szCs w:val="22"/>
        </w:rPr>
        <w:t xml:space="preserve">−66% em população de baixo risco = implausível</w:t>
      </w:r>
    </w:p>
    <w:p>
      <w:pPr>
        <w:spacing w:after="200" w:before="80"/>
      </w:pPr>
      <w:r>
        <w:rPr>
          <w:b/>
          <w:bCs/>
          <w:i/>
          <w:iCs/>
          <w:color w:val="555555"/>
          <w:sz w:val="21"/>
          <w:szCs w:val="21"/>
        </w:rPr>
        <w:t xml:space="preserve">Transição: </w:t>
      </w:r>
      <w:r>
        <w:rPr>
          <w:i/>
          <w:iCs/>
          <w:color w:val="555555"/>
          <w:sz w:val="21"/>
          <w:szCs w:val="21"/>
        </w:rPr>
        <w:t xml:space="preserve">“Se juntarmos todos estes resultados num único gráfico…”</w:t>
      </w:r>
    </w:p>
    <w:p>
      <w:pPr>
        <w:pStyle w:val="Heading2"/>
        <w:keepNext/>
      </w:pPr>
      <w:r>
        <w:t xml:space="preserve">Diapositivo 15 — Estimativas por desenho e comparador (forest plot)</w:t>
      </w:r>
      <w:r>
        <w:rPr>
          <w:b w:val="false"/>
          <w:bCs w:val="false"/>
          <w:color w:val="777777"/>
        </w:rPr>
        <w:t xml:space="preserve">   (1:00)</w:t>
      </w:r>
    </w:p>
    <w:p>
      <w:pPr>
        <w:spacing w:after="120" w:line="300"/>
      </w:pPr>
      <w:r>
        <w:rPr>
          <w:sz w:val="23"/>
          <w:szCs w:val="23"/>
        </w:rPr>
        <w:t xml:space="preserve">Este gráfico resume as estimativas para o carcinoma do endométrio. No topo, o estudo com comparador ativo: sem benefício global e com aumento do risco no uso prolongado. À medida que descemos para comparadores mais fracos (insulina, não-utilizadores) e para populações de mais baixo risco, o benefício aparente vai aumentando, até à redução de 70% no estudo de Yen.</w:t>
      </w:r>
    </w:p>
    <w:p>
      <w:pPr>
        <w:spacing w:after="120" w:line="300"/>
      </w:pPr>
      <w:r>
        <w:rPr>
          <w:sz w:val="23"/>
          <w:szCs w:val="23"/>
        </w:rPr>
        <w:t xml:space="preserve">Este padrão, em que o efeito cresce à medida que o desenho enfraquece, é o padrão típico do confundimento. É precisamente isto que a meta-análise estratificada vai permitir testar.</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Quanto mais fraco o comparador, maior o benefício aparente</w:t>
      </w:r>
    </w:p>
    <w:p>
      <w:pPr>
        <w:spacing w:after="200" w:before="80"/>
      </w:pPr>
      <w:r>
        <w:rPr>
          <w:b/>
          <w:bCs/>
          <w:i/>
          <w:iCs/>
          <w:color w:val="555555"/>
          <w:sz w:val="21"/>
          <w:szCs w:val="21"/>
        </w:rPr>
        <w:t xml:space="preserve">Transição: </w:t>
      </w:r>
      <w:r>
        <w:rPr>
          <w:i/>
          <w:iCs/>
          <w:color w:val="555555"/>
          <w:sz w:val="21"/>
          <w:szCs w:val="21"/>
        </w:rPr>
        <w:t xml:space="preserve">“Passo agora à evidência pré-clínica.”</w:t>
      </w:r>
    </w:p>
    <w:p>
      <w:pPr>
        <w:pStyle w:val="Heading2"/>
        <w:keepNext/>
      </w:pPr>
      <w:r>
        <w:t xml:space="preserve">Diapositivo 16 — Mecanismos: evidência pré-clínica contraditória</w:t>
      </w:r>
      <w:r>
        <w:rPr>
          <w:b w:val="false"/>
          <w:bCs w:val="false"/>
          <w:color w:val="777777"/>
        </w:rPr>
        <w:t xml:space="preserve">   (1:00)</w:t>
      </w:r>
    </w:p>
    <w:p>
      <w:pPr>
        <w:spacing w:after="120" w:line="300"/>
      </w:pPr>
      <w:r>
        <w:rPr>
          <w:sz w:val="23"/>
          <w:szCs w:val="23"/>
        </w:rPr>
        <w:t xml:space="preserve">Há três mecanismos possíveis. O primeiro é indireto e metabólico: perda de peso, aumento da sensibilidade à insulina, redução da sinalização IGF e da inflamação.</w:t>
      </w:r>
    </w:p>
    <w:p>
      <w:pPr>
        <w:spacing w:after="120" w:line="300"/>
      </w:pPr>
      <w:r>
        <w:rPr>
          <w:sz w:val="23"/>
          <w:szCs w:val="23"/>
        </w:rPr>
        <w:t xml:space="preserve">O segundo seria um efeito antitumoral direto, através do recetor GLP-1 expresso no endométrio: aumento do cAMP e da AMPK, inibição do mTOR, menor proliferação e mais apoptose. Este é o modelo proposto por Kanda em 2018, em linhas celulares.</w:t>
      </w:r>
    </w:p>
    <w:p>
      <w:pPr>
        <w:spacing w:after="120" w:line="300"/>
      </w:pPr>
      <w:r>
        <w:rPr>
          <w:sz w:val="23"/>
          <w:szCs w:val="23"/>
        </w:rPr>
        <w:t xml:space="preserve">Mas há evidência em sentido contrário. Li e colaboradores, em 2024, mostraram que o recetor GLP-1 aumenta a sobrevivência, a migração e a invasão das células de carcinoma do endométrio e as protege da ferroptose.</w:t>
      </w:r>
    </w:p>
    <w:p>
      <w:pPr>
        <w:spacing w:after="120" w:line="300"/>
      </w:pPr>
      <w:r>
        <w:rPr>
          <w:sz w:val="23"/>
          <w:szCs w:val="23"/>
        </w:rPr>
        <w:t xml:space="preserve">Ou seja, o papel direto do recetor GLP-1 no carcinoma do endométrio não está estabelecido. Note-se que toda esta evidência é pré-clínica, em linhas celulares.</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Li 2024: GLP-1R ↑ sobrevivência, migração, invasão; protege da ferroptose</w:t>
      </w:r>
    </w:p>
    <w:p>
      <w:pPr>
        <w:spacing w:after="200" w:before="80"/>
      </w:pPr>
      <w:r>
        <w:rPr>
          <w:b/>
          <w:bCs/>
          <w:i/>
          <w:iCs/>
          <w:color w:val="555555"/>
          <w:sz w:val="21"/>
          <w:szCs w:val="21"/>
        </w:rPr>
        <w:t xml:space="preserve">Transição: </w:t>
      </w:r>
      <w:r>
        <w:rPr>
          <w:i/>
          <w:iCs/>
          <w:color w:val="555555"/>
          <w:sz w:val="21"/>
          <w:szCs w:val="21"/>
        </w:rPr>
        <w:t xml:space="preserve">“Um exemplo de estudo pré-clínico com terapêutica combinada:”</w:t>
      </w:r>
    </w:p>
    <w:p>
      <w:pPr>
        <w:pStyle w:val="Heading2"/>
        <w:keepNext/>
      </w:pPr>
      <w:r>
        <w:t xml:space="preserve">Diapositivo 17 — Hagemann: semaglutido + levonorgestrel</w:t>
      </w:r>
      <w:r>
        <w:rPr>
          <w:b w:val="false"/>
          <w:bCs w:val="false"/>
          <w:color w:val="777777"/>
        </w:rPr>
        <w:t xml:space="preserve">   (0:50)</w:t>
      </w:r>
    </w:p>
    <w:p>
      <w:pPr>
        <w:spacing w:after="120" w:line="300"/>
      </w:pPr>
      <w:r>
        <w:rPr>
          <w:sz w:val="23"/>
          <w:szCs w:val="23"/>
        </w:rPr>
        <w:t xml:space="preserve">O trabalho de Hagemann e colaboradores foi feito em linhas celulares e organoides de carcinoma do endométrio. As células expressam o recetor GLP-1, e o semaglutido aumentou a expressão do recetor. A combinação de levonorgestrel com semaglutido reduziu a viabilidade celular de forma sinérgica, em tumores com expressão alta e baixa de recetores de progesterona, e o semaglutido aumentou a expressão desses recetores.</w:t>
      </w:r>
    </w:p>
    <w:p>
      <w:pPr>
        <w:spacing w:after="120" w:line="300"/>
      </w:pPr>
      <w:r>
        <w:rPr>
          <w:sz w:val="23"/>
          <w:szCs w:val="23"/>
        </w:rPr>
        <w:t xml:space="preserve">São resultados interessantes, mas são dados in vitro e em organoides, e não podem ser extrapolados para a prevenção em mulheres.</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Nível: linhas celulares e organoides</w:t>
      </w:r>
    </w:p>
    <w:p>
      <w:pPr>
        <w:spacing w:after="200" w:before="80"/>
      </w:pPr>
      <w:r>
        <w:rPr>
          <w:b/>
          <w:bCs/>
          <w:i/>
          <w:iCs/>
          <w:color w:val="555555"/>
          <w:sz w:val="21"/>
          <w:szCs w:val="21"/>
        </w:rPr>
        <w:t xml:space="preserve">Transição: </w:t>
      </w:r>
      <w:r>
        <w:rPr>
          <w:i/>
          <w:iCs/>
          <w:color w:val="555555"/>
          <w:sz w:val="21"/>
          <w:szCs w:val="21"/>
        </w:rPr>
        <w:t xml:space="preserve">“E nos modelos animais?”</w:t>
      </w:r>
    </w:p>
    <w:p>
      <w:pPr>
        <w:pStyle w:val="Heading2"/>
        <w:keepNext/>
      </w:pPr>
      <w:r>
        <w:t xml:space="preserve">Diapositivo 18 — Estudos pré-clínicos in vivo</w:t>
      </w:r>
      <w:r>
        <w:rPr>
          <w:b w:val="false"/>
          <w:bCs w:val="false"/>
          <w:color w:val="777777"/>
        </w:rPr>
        <w:t xml:space="preserve">   (1:00)</w:t>
      </w:r>
    </w:p>
    <w:p>
      <w:pPr>
        <w:spacing w:after="120" w:line="300"/>
      </w:pPr>
      <w:r>
        <w:rPr>
          <w:sz w:val="23"/>
          <w:szCs w:val="23"/>
        </w:rPr>
        <w:t xml:space="preserve">Nos modelos animais, o exenatido reduziu o volume e o peso de xenotransplantes de células Ishikawa em ratinhos nude. Num estudo-piloto em ratos BDII/Han, o liraglutido associado a restrição calórica de 50% reduziu a incidência de carcinoma de 58% para 19%. No modelo Lkb1/p53, a retatrutida reduziu o peso tumoral e a tirzepatida reduziu o crescimento tumoral em 72%.</w:t>
      </w:r>
    </w:p>
    <w:p>
      <w:pPr>
        <w:spacing w:after="120" w:line="300"/>
      </w:pPr>
      <w:r>
        <w:rPr>
          <w:sz w:val="23"/>
          <w:szCs w:val="23"/>
        </w:rPr>
        <w:t xml:space="preserve">Mas repare-se: no estudo com tirzepatida, a restrição energética intermitente teve um efeito praticamente igual, de 69%, e no estudo com liraglutido o fármaco foi dado juntamente com restrição calórica. Por isso é difícil distinguir o efeito direto do fármaco do efeito da perda de peso.</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Liraglutido + restrição calórica: 19% vs 58%</w:t>
      </w:r>
    </w:p>
    <w:p>
      <w:pPr>
        <w:pStyle w:val="ListParagraph"/>
        <w:numPr>
          <w:ilvl w:val="0"/>
          <w:numId w:val="2"/>
        </w:numPr>
        <w:spacing w:after="60"/>
      </w:pPr>
      <w:r>
        <w:rPr>
          <w:sz w:val="22"/>
          <w:szCs w:val="22"/>
        </w:rPr>
        <w:t xml:space="preserve">Tirzepatida 72% vs restrição energética 69%</w:t>
      </w:r>
    </w:p>
    <w:p>
      <w:pPr>
        <w:spacing w:after="200" w:before="80"/>
      </w:pPr>
      <w:r>
        <w:rPr>
          <w:b/>
          <w:bCs/>
          <w:i/>
          <w:iCs/>
          <w:color w:val="555555"/>
          <w:sz w:val="21"/>
          <w:szCs w:val="21"/>
        </w:rPr>
        <w:t xml:space="preserve">Transição: </w:t>
      </w:r>
      <w:r>
        <w:rPr>
          <w:i/>
          <w:iCs/>
          <w:color w:val="555555"/>
          <w:sz w:val="21"/>
          <w:szCs w:val="21"/>
        </w:rPr>
        <w:t xml:space="preserve">“O que podemos então concluir?”</w:t>
      </w:r>
    </w:p>
    <w:p>
      <w:pPr>
        <w:pStyle w:val="Heading2"/>
        <w:keepNext/>
      </w:pPr>
      <w:r>
        <w:t xml:space="preserve">Diapositivo 19 — O que podemos concluir?</w:t>
      </w:r>
      <w:r>
        <w:rPr>
          <w:b w:val="false"/>
          <w:bCs w:val="false"/>
          <w:color w:val="777777"/>
        </w:rPr>
        <w:t xml:space="preserve">   (1:00)</w:t>
      </w:r>
    </w:p>
    <w:p>
      <w:pPr>
        <w:spacing w:after="120" w:line="300"/>
      </w:pPr>
      <w:r>
        <w:rPr>
          <w:sz w:val="23"/>
          <w:szCs w:val="23"/>
        </w:rPr>
        <w:t xml:space="preserve">Os ensaios aleatorizados não mostram efeito no carcinoma do endométrio, com certeza baixa. Os estudos observacionais são inconsistentes: mostram redução quando o comparador são não-utilizadores ou insulina, mas o desenho mais robusto não mostra proteção e sugere até aumento do risco com o uso prolongado, e alguns efeitos são implausíveis. A evidência pré-clínica é contraditória.</w:t>
      </w:r>
    </w:p>
    <w:p>
      <w:pPr>
        <w:spacing w:after="120" w:line="300"/>
      </w:pPr>
      <w:r>
        <w:rPr>
          <w:sz w:val="23"/>
          <w:szCs w:val="23"/>
        </w:rPr>
        <w:t xml:space="preserve">Por isso, neste momento, não é possível recomendar GLP-1RA para prevenção do carcinoma do endométrio. E falta uma síntese quantitativa dos dados humanos que separe os desenhos, os comparadores e a duração da exposição.</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Não é possível recomendar GLP-1RA para prevenção do CE</w:t>
      </w:r>
    </w:p>
    <w:p>
      <w:pPr>
        <w:spacing w:after="200" w:before="80"/>
      </w:pPr>
      <w:r>
        <w:rPr>
          <w:b/>
          <w:bCs/>
          <w:i/>
          <w:iCs/>
          <w:color w:val="555555"/>
          <w:sz w:val="21"/>
          <w:szCs w:val="21"/>
        </w:rPr>
        <w:t xml:space="preserve">Transição: </w:t>
      </w:r>
      <w:r>
        <w:rPr>
          <w:i/>
          <w:iCs/>
          <w:color w:val="555555"/>
          <w:sz w:val="21"/>
          <w:szCs w:val="21"/>
        </w:rPr>
        <w:t xml:space="preserve">“É esta a lacuna que a nossa proposta pretende preencher.”</w:t>
      </w:r>
    </w:p>
    <w:p>
      <w:pPr>
        <w:pStyle w:val="Heading2"/>
        <w:keepNext/>
      </w:pPr>
      <w:r>
        <w:t xml:space="preserve">Diapositivo 20 — Proposta: revisão sistemática com meta-análise</w:t>
      </w:r>
      <w:r>
        <w:rPr>
          <w:b w:val="false"/>
          <w:bCs w:val="false"/>
          <w:color w:val="777777"/>
        </w:rPr>
        <w:t xml:space="preserve">   (1:00)</w:t>
      </w:r>
    </w:p>
    <w:p>
      <w:pPr>
        <w:spacing w:after="120" w:line="300"/>
      </w:pPr>
      <w:r>
        <w:rPr>
          <w:sz w:val="23"/>
          <w:szCs w:val="23"/>
        </w:rPr>
        <w:t xml:space="preserve">A nossa pergunta é: em mulheres adultas, o uso de agonistas do recetor GLP-1 associa-se a menor incidência de carcinoma do endométrio, em comparação com placebo, não-uso ou outro fármaco antidiabético ou antiobesidade?</w:t>
      </w:r>
    </w:p>
    <w:p>
      <w:pPr>
        <w:spacing w:after="120" w:line="300"/>
      </w:pPr>
      <w:r>
        <w:rPr>
          <w:sz w:val="23"/>
          <w:szCs w:val="23"/>
        </w:rPr>
        <w:t xml:space="preserve">Inicialmente pensámos numa scoping review, mas esta é uma pergunta de efeito e não de mapeamento. Já existem estudos humanos com estimativas de efeito que podem ser combinadas, e a meta-análise permite quantificar a heterogeneidade e testar o efeito do desenho e do comparador.</w:t>
      </w:r>
    </w:p>
    <w:p>
      <w:pPr>
        <w:spacing w:after="120" w:line="300"/>
      </w:pPr>
      <w:r>
        <w:rPr>
          <w:sz w:val="23"/>
          <w:szCs w:val="23"/>
        </w:rPr>
        <w:t xml:space="preserve">A revisão vai ser restrita a dados humanos; os estudos pré-clínicos servem apenas de contexto na discussão. O protocolo será registado no PROSPERO e o reporte seguirá o PRISMA 2020.</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Pergunta de efeito → meta-análise</w:t>
      </w:r>
    </w:p>
    <w:p>
      <w:pPr>
        <w:pStyle w:val="ListParagraph"/>
        <w:numPr>
          <w:ilvl w:val="0"/>
          <w:numId w:val="2"/>
        </w:numPr>
        <w:spacing w:after="60"/>
      </w:pPr>
      <w:r>
        <w:rPr>
          <w:sz w:val="22"/>
          <w:szCs w:val="22"/>
        </w:rPr>
        <w:t xml:space="preserve">PROSPERO + PRISMA 2020</w:t>
      </w:r>
    </w:p>
    <w:p>
      <w:pPr>
        <w:spacing w:after="200" w:before="80"/>
      </w:pPr>
      <w:r>
        <w:rPr>
          <w:b/>
          <w:bCs/>
          <w:i/>
          <w:iCs/>
          <w:color w:val="555555"/>
          <w:sz w:val="21"/>
          <w:szCs w:val="21"/>
        </w:rPr>
        <w:t xml:space="preserve">Transição: </w:t>
      </w:r>
      <w:r>
        <w:rPr>
          <w:i/>
          <w:iCs/>
          <w:color w:val="555555"/>
          <w:sz w:val="21"/>
          <w:szCs w:val="21"/>
        </w:rPr>
        <w:t xml:space="preserve">“Concretizando a pergunta no formato PICO:”</w:t>
      </w:r>
    </w:p>
    <w:p>
      <w:pPr>
        <w:pStyle w:val="Heading2"/>
        <w:keepNext/>
      </w:pPr>
      <w:r>
        <w:t xml:space="preserve">Diapositivo 21 — PICO</w:t>
      </w:r>
      <w:r>
        <w:rPr>
          <w:b w:val="false"/>
          <w:bCs w:val="false"/>
          <w:color w:val="777777"/>
        </w:rPr>
        <w:t xml:space="preserve">   (0:50)</w:t>
      </w:r>
    </w:p>
    <w:p>
      <w:pPr>
        <w:spacing w:after="120" w:line="300"/>
      </w:pPr>
      <w:r>
        <w:rPr>
          <w:sz w:val="23"/>
          <w:szCs w:val="23"/>
        </w:rPr>
        <w:t xml:space="preserve">A população são mulheres adultas, com ou sem diabetes ou obesidade, e com ou sem patologia uterina benigna ou hiperplasia sem atipia. A exposição são os agonistas do recetor GLP-1, incluindo agonistas duplos e triplos. Os comparadores são o placebo nos ensaios, comparadores ativos como sulfonilureias, inibidores da DPP-4, inibidores SGLT2, insulina ou metformina, e não-utilizadores, que vão ser analisados separadamente. O outcome primário é a incidência de carcinoma do endométrio; os secundários são a hiperplasia atípica, a histerectomia e os tumores uterinos.</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Comparadores analisados separadamente</w:t>
      </w:r>
    </w:p>
    <w:p>
      <w:pPr>
        <w:spacing w:after="200" w:before="80"/>
      </w:pPr>
      <w:r>
        <w:rPr>
          <w:b/>
          <w:bCs/>
          <w:i/>
          <w:iCs/>
          <w:color w:val="555555"/>
          <w:sz w:val="21"/>
          <w:szCs w:val="21"/>
        </w:rPr>
        <w:t xml:space="preserve">Transição: </w:t>
      </w:r>
      <w:r>
        <w:rPr>
          <w:i/>
          <w:iCs/>
          <w:color w:val="555555"/>
          <w:sz w:val="21"/>
          <w:szCs w:val="21"/>
        </w:rPr>
        <w:t xml:space="preserve">“Quanto aos critérios de elegibilidade…”</w:t>
      </w:r>
    </w:p>
    <w:p>
      <w:pPr>
        <w:pStyle w:val="Heading2"/>
        <w:keepNext/>
      </w:pPr>
      <w:r>
        <w:t xml:space="preserve">Diapositivo 22 — Critérios de elegibilidade e pesquisa</w:t>
      </w:r>
      <w:r>
        <w:rPr>
          <w:b w:val="false"/>
          <w:bCs w:val="false"/>
          <w:color w:val="777777"/>
        </w:rPr>
        <w:t xml:space="preserve">   (0:45)</w:t>
      </w:r>
    </w:p>
    <w:p>
      <w:pPr>
        <w:spacing w:after="120" w:line="300"/>
      </w:pPr>
      <w:r>
        <w:rPr>
          <w:sz w:val="23"/>
          <w:szCs w:val="23"/>
        </w:rPr>
        <w:t xml:space="preserve">Incluímos ensaios aleatorizados que reportem casos de carcinoma do endométrio e estudos de coorte e caso-controlo com estimativa de efeito ou dados para a calcular. Excluímos estudos pré-clínicos, estudos sobre tratamento de carcinoma já diagnosticado, estudos sem dados separáveis para GLP-1RA, revisões narrativas, editoriais e case reports.</w:t>
      </w:r>
    </w:p>
    <w:p>
      <w:pPr>
        <w:spacing w:after="120" w:line="300"/>
      </w:pPr>
      <w:r>
        <w:rPr>
          <w:sz w:val="23"/>
          <w:szCs w:val="23"/>
        </w:rPr>
        <w:t xml:space="preserve">A pesquisa será feita na MEDLINE, Embase, Cochrane CENTRAL, Scopus e Web of Science, e ainda no ClinicalTrials.gov. A seleção será feita por dois revisores independentes, com um terceiro revisor em caso de discordância.</w:t>
      </w:r>
    </w:p>
    <w:p>
      <w:pPr>
        <w:spacing w:after="200" w:before="80"/>
      </w:pPr>
      <w:r>
        <w:rPr>
          <w:b/>
          <w:bCs/>
          <w:i/>
          <w:iCs/>
          <w:color w:val="555555"/>
          <w:sz w:val="21"/>
          <w:szCs w:val="21"/>
        </w:rPr>
        <w:t xml:space="preserve">Transição: </w:t>
      </w:r>
      <w:r>
        <w:rPr>
          <w:i/>
          <w:iCs/>
          <w:color w:val="555555"/>
          <w:sz w:val="21"/>
          <w:szCs w:val="21"/>
        </w:rPr>
        <w:t xml:space="preserve">“Como vamos analisar os dados?”</w:t>
      </w:r>
    </w:p>
    <w:p>
      <w:pPr>
        <w:pStyle w:val="Heading2"/>
        <w:keepNext/>
      </w:pPr>
      <w:r>
        <w:t xml:space="preserve">Diapositivo 23 — Risco de viés, síntese e análises planeadas</w:t>
      </w:r>
      <w:r>
        <w:rPr>
          <w:b w:val="false"/>
          <w:bCs w:val="false"/>
          <w:color w:val="777777"/>
        </w:rPr>
        <w:t xml:space="preserve">   (1:00)</w:t>
      </w:r>
    </w:p>
    <w:p>
      <w:pPr>
        <w:spacing w:after="120" w:line="300"/>
      </w:pPr>
      <w:r>
        <w:rPr>
          <w:sz w:val="23"/>
          <w:szCs w:val="23"/>
        </w:rPr>
        <w:t xml:space="preserve">O risco de viés será avaliado com o RoB 2 para os ensaios e o ROBINS-E ou ROBINS-I para os observacionais. A meta-análise usará um modelo de efeitos aleatórios, com ensaios e observacionais analisados em separado, e reportaremos o I² e o intervalo de predição.</w:t>
      </w:r>
    </w:p>
    <w:p>
      <w:pPr>
        <w:spacing w:after="120" w:line="300"/>
      </w:pPr>
      <w:r>
        <w:rPr>
          <w:sz w:val="23"/>
          <w:szCs w:val="23"/>
        </w:rPr>
        <w:t xml:space="preserve">Os subgrupos planeados respondem diretamente às limitações que vimos: tipo de comparador, população, fármaco e duração da exposição, até dois anos ou mais de dois anos. Nas análises de sensibilidade, vamos restringir aos estudos com baixo risco de viés e ao desenho de novo utilizador com comparador ativo, e calcular o E-value para o confundimento residual. A certeza da evidência será avaliada com o GRADE.</w:t>
      </w:r>
    </w:p>
    <w:p>
      <w:pPr>
        <w:keepNext/>
        <w:spacing w:after="40" w:before="60"/>
      </w:pPr>
      <w:r>
        <w:rPr>
          <w:b/>
          <w:bCs/>
          <w:color w:val="A85A62"/>
          <w:sz w:val="21"/>
          <w:szCs w:val="21"/>
        </w:rPr>
        <w:t xml:space="preserve">Pontos-chave</w:t>
      </w:r>
    </w:p>
    <w:p>
      <w:pPr>
        <w:pStyle w:val="ListParagraph"/>
        <w:numPr>
          <w:ilvl w:val="0"/>
          <w:numId w:val="2"/>
        </w:numPr>
        <w:spacing w:after="60"/>
      </w:pPr>
      <w:r>
        <w:rPr>
          <w:sz w:val="22"/>
          <w:szCs w:val="22"/>
        </w:rPr>
        <w:t xml:space="preserve">Subgrupos: comparador, população, fármaco, duração</w:t>
      </w:r>
    </w:p>
    <w:p>
      <w:pPr>
        <w:pStyle w:val="ListParagraph"/>
        <w:numPr>
          <w:ilvl w:val="0"/>
          <w:numId w:val="2"/>
        </w:numPr>
        <w:spacing w:after="60"/>
      </w:pPr>
      <w:r>
        <w:rPr>
          <w:sz w:val="22"/>
          <w:szCs w:val="22"/>
        </w:rPr>
        <w:t xml:space="preserve">E-value para confundimento residual</w:t>
      </w:r>
    </w:p>
    <w:p>
      <w:pPr>
        <w:spacing w:after="200" w:before="80"/>
      </w:pPr>
      <w:r>
        <w:rPr>
          <w:b/>
          <w:bCs/>
          <w:i/>
          <w:iCs/>
          <w:color w:val="555555"/>
          <w:sz w:val="21"/>
          <w:szCs w:val="21"/>
        </w:rPr>
        <w:t xml:space="preserve">Transição: </w:t>
      </w:r>
      <w:r>
        <w:rPr>
          <w:i/>
          <w:iCs/>
          <w:color w:val="555555"/>
          <w:sz w:val="21"/>
          <w:szCs w:val="21"/>
        </w:rPr>
        <w:t xml:space="preserve">“Por fim, os dados a extrair.”</w:t>
      </w:r>
    </w:p>
    <w:p>
      <w:pPr>
        <w:pStyle w:val="Heading2"/>
        <w:keepNext/>
      </w:pPr>
      <w:r>
        <w:t xml:space="preserve">Diapositivo 24 — Dados a extrair</w:t>
      </w:r>
      <w:r>
        <w:rPr>
          <w:b w:val="false"/>
          <w:bCs w:val="false"/>
          <w:color w:val="777777"/>
        </w:rPr>
        <w:t xml:space="preserve">   (0:30)</w:t>
      </w:r>
    </w:p>
    <w:p>
      <w:pPr>
        <w:spacing w:after="120" w:line="300"/>
      </w:pPr>
      <w:r>
        <w:rPr>
          <w:sz w:val="23"/>
          <w:szCs w:val="23"/>
        </w:rPr>
        <w:t xml:space="preserve">De cada estudo vamos extrair as características do estudo, a exposição (fármaco, dose, duração e comparador), as características da população (idade, IMC, diabetes, patologia uterina e terapêutica hormonal) e os resultados: número de casos por grupo, as estimativas ajustadas com intervalo de confiança e as variáveis de ajuste.</w:t>
      </w:r>
    </w:p>
    <w:p>
      <w:pPr>
        <w:spacing w:after="200" w:before="80"/>
      </w:pPr>
      <w:r>
        <w:rPr>
          <w:b/>
          <w:bCs/>
          <w:i/>
          <w:iCs/>
          <w:color w:val="555555"/>
          <w:sz w:val="21"/>
          <w:szCs w:val="21"/>
        </w:rPr>
        <w:t xml:space="preserve">Transição: </w:t>
      </w:r>
      <w:r>
        <w:rPr>
          <w:i/>
          <w:iCs/>
          <w:color w:val="555555"/>
          <w:sz w:val="21"/>
          <w:szCs w:val="21"/>
        </w:rPr>
        <w:t xml:space="preserve">“Termino com as mensagens principais.”</w:t>
      </w:r>
    </w:p>
    <w:p>
      <w:pPr>
        <w:pStyle w:val="Heading2"/>
        <w:keepNext/>
      </w:pPr>
      <w:r>
        <w:t xml:space="preserve">Diapositivo 25 — Mensagens finais</w:t>
      </w:r>
      <w:r>
        <w:rPr>
          <w:b w:val="false"/>
          <w:bCs w:val="false"/>
          <w:color w:val="777777"/>
        </w:rPr>
        <w:t xml:space="preserve">   (0:45)</w:t>
      </w:r>
    </w:p>
    <w:p>
      <w:pPr>
        <w:spacing w:after="120" w:line="300"/>
      </w:pPr>
      <w:r>
        <w:rPr>
          <w:sz w:val="23"/>
          <w:szCs w:val="23"/>
        </w:rPr>
        <w:t xml:space="preserve">Em resumo: a obesidade, a hiperinsulinemia e a inflamação estão implicadas na carcinogénese endometrial, e os GLP-1RA atuam sobre estes fatores. No entanto, os ensaios aleatorizados não mostram efeito, os estudos observacionais são inconsistentes e o desenho mais robusto não mostra proteção. A evidência pré-clínica é contraditória.</w:t>
      </w:r>
    </w:p>
    <w:p>
      <w:pPr>
        <w:spacing w:after="120" w:line="300"/>
      </w:pPr>
      <w:r>
        <w:rPr>
          <w:sz w:val="23"/>
          <w:szCs w:val="23"/>
        </w:rPr>
        <w:t xml:space="preserve">Por isso propomos uma revisão sistemática com meta-análise de dados humanos, estratificada por desenho, comparador e duração, para estimar o efeito real.</w:t>
      </w:r>
    </w:p>
    <w:p>
      <w:pPr>
        <w:spacing w:after="120" w:line="300"/>
      </w:pPr>
      <w:r>
        <w:rPr>
          <w:sz w:val="23"/>
          <w:szCs w:val="23"/>
        </w:rPr>
        <w:t xml:space="preserve">Obrigada pela atenção. Fico disponível para perguntas.</w:t>
      </w:r>
    </w:p>
    <w:p>
      <w:pPr>
        <w:pStyle w:val="Heading1"/>
        <w:pageBreakBefore/>
      </w:pPr>
      <w:r>
        <w:t xml:space="preserve">Perguntas prováveis e respostas</w:t>
      </w:r>
    </w:p>
    <w:p>
      <w:pPr>
        <w:keepNext/>
        <w:spacing w:after="40" w:before="120"/>
      </w:pPr>
      <w:r>
        <w:rPr>
          <w:b/>
          <w:bCs/>
          <w:sz w:val="23"/>
          <w:szCs w:val="23"/>
        </w:rPr>
        <w:t xml:space="preserve">Porque mudaram de scoping review para meta-análise?</w:t>
      </w:r>
    </w:p>
    <w:p>
      <w:pPr>
        <w:spacing w:after="120" w:line="300"/>
      </w:pPr>
      <w:r>
        <w:rPr>
          <w:sz w:val="23"/>
          <w:szCs w:val="23"/>
        </w:rPr>
        <w:t xml:space="preserve">Porque a pergunta “os GLP-1RA previnem o carcinoma do endométrio?” é uma pergunta de efeito. A scoping review serve para mapear evidência; aqui já existem estudos humanos com HR/OR que podem ser combinados e permite testar formalmente se o efeito depende do desenho e do comparador.</w:t>
      </w:r>
    </w:p>
    <w:p>
      <w:pPr>
        <w:keepNext/>
        <w:spacing w:after="40" w:before="120"/>
      </w:pPr>
      <w:r>
        <w:rPr>
          <w:b/>
          <w:bCs/>
          <w:sz w:val="23"/>
          <w:szCs w:val="23"/>
        </w:rPr>
        <w:t xml:space="preserve">Porque excluir os estudos pré-clínicos?</w:t>
      </w:r>
    </w:p>
    <w:p>
      <w:pPr>
        <w:spacing w:after="120" w:line="300"/>
      </w:pPr>
      <w:r>
        <w:rPr>
          <w:sz w:val="23"/>
          <w:szCs w:val="23"/>
        </w:rPr>
        <w:t xml:space="preserve">Não medem o mesmo outcome nem podem ser combinados com dados humanos. Entram apenas na discussão como plausibilidade biológica — e são contraditórios (Li 2024).</w:t>
      </w:r>
    </w:p>
    <w:p>
      <w:pPr>
        <w:keepNext/>
        <w:spacing w:after="40" w:before="120"/>
      </w:pPr>
      <w:r>
        <w:rPr>
          <w:b/>
          <w:bCs/>
          <w:sz w:val="23"/>
          <w:szCs w:val="23"/>
        </w:rPr>
        <w:t xml:space="preserve">Porque dá tanto destaque ao Rothman, se o HR global é nulo?</w:t>
      </w:r>
    </w:p>
    <w:p>
      <w:pPr>
        <w:spacing w:after="120" w:line="300"/>
      </w:pPr>
      <w:r>
        <w:rPr>
          <w:sz w:val="23"/>
          <w:szCs w:val="23"/>
        </w:rPr>
        <w:t xml:space="preserve">Porque é o único estudo com comparador ativo e novo utilizador, o desenho observacional mais próximo de um ensaio. O sinal de risco &gt; 2 anos (HR 2,47) é secundário e precisa de confirmação, mas é relevante precisamente porque contraria a hipótese de prevenção.</w:t>
      </w:r>
    </w:p>
    <w:p>
      <w:pPr>
        <w:keepNext/>
        <w:spacing w:after="40" w:before="120"/>
      </w:pPr>
      <w:r>
        <w:rPr>
          <w:b/>
          <w:bCs/>
          <w:sz w:val="23"/>
          <w:szCs w:val="23"/>
        </w:rPr>
        <w:t xml:space="preserve">O resultado de Yen não é promissor?</w:t>
      </w:r>
    </w:p>
    <w:p>
      <w:pPr>
        <w:spacing w:after="120" w:line="300"/>
      </w:pPr>
      <w:r>
        <w:rPr>
          <w:sz w:val="23"/>
          <w:szCs w:val="23"/>
        </w:rPr>
        <w:t xml:space="preserve">É uma redução de 66–70% numa população jovem e de baixo risco, o que é biologicamente implausível sem confundimento residual (IMC, acesso a cuidados, vigilância, utilizador saudável). Cito o artigo publicado e não o resumo do SGO 2025, que tinha números diferentes e não mostrava redução em hiperplasias/pólipos.</w:t>
      </w:r>
    </w:p>
    <w:p>
      <w:pPr>
        <w:keepNext/>
        <w:spacing w:after="40" w:before="120"/>
      </w:pPr>
      <w:r>
        <w:rPr>
          <w:b/>
          <w:bCs/>
          <w:sz w:val="23"/>
          <w:szCs w:val="23"/>
        </w:rPr>
        <w:t xml:space="preserve">E o aumento de risco do rim no estudo de Dai?</w:t>
      </w:r>
    </w:p>
    <w:p>
      <w:pPr>
        <w:spacing w:after="120" w:line="300"/>
      </w:pPr>
      <w:r>
        <w:rPr>
          <w:sz w:val="23"/>
          <w:szCs w:val="23"/>
        </w:rPr>
        <w:t xml:space="preserve">O IC95% é 0,99–1,93, inclui o 1: não há associação estatisticamente significativa.</w:t>
      </w:r>
    </w:p>
    <w:p>
      <w:pPr>
        <w:keepNext/>
        <w:spacing w:after="40" w:before="120"/>
      </w:pPr>
      <w:r>
        <w:rPr>
          <w:b/>
          <w:bCs/>
          <w:sz w:val="23"/>
          <w:szCs w:val="23"/>
        </w:rPr>
        <w:t xml:space="preserve">Como vão lidar com a heterogeneidade?</w:t>
      </w:r>
    </w:p>
    <w:p>
      <w:pPr>
        <w:spacing w:after="120" w:line="300"/>
      </w:pPr>
      <w:r>
        <w:rPr>
          <w:sz w:val="23"/>
          <w:szCs w:val="23"/>
        </w:rPr>
        <w:t xml:space="preserve">Modelo de efeitos aleatórios, I² e intervalo de predição, análises separadas para RCT e observacionais, subgrupos por comparador, população, fármaco e duração, e meta-regressão se houver ≥ 10 estudos.</w:t>
      </w:r>
    </w:p>
    <w:p>
      <w:pPr>
        <w:keepNext/>
        <w:spacing w:after="40" w:before="120"/>
      </w:pPr>
      <w:r>
        <w:rPr>
          <w:b/>
          <w:bCs/>
          <w:sz w:val="23"/>
          <w:szCs w:val="23"/>
        </w:rPr>
        <w:t xml:space="preserve">Como avaliam o confundimento residual?</w:t>
      </w:r>
    </w:p>
    <w:p>
      <w:pPr>
        <w:spacing w:after="120" w:line="300"/>
      </w:pPr>
      <w:r>
        <w:rPr>
          <w:sz w:val="23"/>
          <w:szCs w:val="23"/>
        </w:rPr>
        <w:t xml:space="preserve">Com o ROBINS-E/ROBINS-I, análise de sensibilidade restrita ao desenho novo utilizador/comparador ativo e cálculo do E-value.</w:t>
      </w:r>
    </w:p>
    <w:p>
      <w:pPr>
        <w:keepNext/>
        <w:spacing w:after="40" w:before="120"/>
      </w:pPr>
      <w:r>
        <w:rPr>
          <w:b/>
          <w:bCs/>
          <w:sz w:val="23"/>
          <w:szCs w:val="23"/>
        </w:rPr>
        <w:t xml:space="preserve">Porque incluir a retatrutida se não está aprovada?</w:t>
      </w:r>
    </w:p>
    <w:p>
      <w:pPr>
        <w:spacing w:after="120" w:line="300"/>
      </w:pPr>
      <w:r>
        <w:rPr>
          <w:sz w:val="23"/>
          <w:szCs w:val="23"/>
        </w:rPr>
        <w:t xml:space="preserve">Para manter a coerência com a definição de exposição (“incluindo agonistas duplos e triplos”). Na prática, só entrará se existirem dados humanos com CE como outcome.</w:t>
      </w:r>
    </w:p>
    <w:p>
      <w:pPr>
        <w:keepNext/>
        <w:spacing w:after="40" w:before="120"/>
      </w:pPr>
      <w:r>
        <w:rPr>
          <w:b/>
          <w:bCs/>
          <w:sz w:val="23"/>
          <w:szCs w:val="23"/>
        </w:rPr>
        <w:t xml:space="preserve">Os RCT têm poder para responder?</w:t>
      </w:r>
    </w:p>
    <w:p>
      <w:pPr>
        <w:spacing w:after="120" w:line="300"/>
      </w:pPr>
      <w:r>
        <w:rPr>
          <w:sz w:val="23"/>
          <w:szCs w:val="23"/>
        </w:rPr>
        <w:t xml:space="preserve">Não isoladamente: têm seguimento curto e poucos eventos, por isso a certeza é baixa. É por isso que a revisão inclui também observacionais, analisados em separado e com avaliação de risco de viés.</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A85A62"/>
      <w:sz w:val="30"/>
      <w:szCs w:val="30"/>
    </w:rPr>
  </w:style>
  <w:style w:type="paragraph" w:styleId="Heading2">
    <w:name w:val="Heading 2"/>
    <w:basedOn w:val="Normal"/>
    <w:next w:val="Normal"/>
    <w:qFormat/>
    <w:pPr>
      <w:pBdr>
        <w:bottom w:val="single" w:color="E0A08E" w:sz="4" w:space="2"/>
      </w:pBdr>
      <w:spacing w:after="100" w:before="260"/>
      <w:outlineLvl w:val="1"/>
    </w:pPr>
    <w:rPr>
      <w:rFonts w:ascii="Calibri" w:cs="Calibri" w:eastAsia="Calibri" w:hAnsi="Calibri"/>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2026-10-08T10:02:11.200Z</dcterms:created>
  <dcterms:modified xsi:type="dcterms:W3CDTF">2026-10-08T10:02:11.200Z</dcterms:modified>
</cp:coreProperties>
</file>

<file path=docProps/custom.xml><?xml version="1.0" encoding="utf-8"?>
<Properties xmlns="http://schemas.openxmlformats.org/officeDocument/2006/custom-properties" xmlns:vt="http://schemas.openxmlformats.org/officeDocument/2006/docPropsVTypes"/>
</file>