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NEGOCIACIÓN DE SOFTWARE: ACTIVIDADES Y ENTREGABLES</w:t>
      </w:r>
    </w:p>
    <w:p>
      <w:pPr>
        <w:jc w:val="center"/>
      </w:pPr>
      <w:r>
        <w:rPr>
          <w:b/>
          <w:sz w:val="26"/>
        </w:rPr>
        <w:t>CASO 1. LICENCIA DE SOFTWARE PARA CLIENTE PRIVADO</w:t>
      </w:r>
    </w:p>
    <w:p>
      <w:r>
        <w:t>Empresa ficticia: Soluciones Digitales Andinas S.A.S.</w:t>
      </w:r>
    </w:p>
    <w:p>
      <w:r>
        <w:t>Aprendiz: Mariana ____________________</w:t>
      </w:r>
    </w:p>
    <w:p>
      <w:r>
        <w:t>Programa: Análisis y Desarrollo de Software – SENA</w:t>
      </w:r>
    </w:p>
    <w:p>
      <w:r>
        <w:t>Fecha: ____________________</w:t>
      </w:r>
    </w:p>
    <w:p>
      <w:r>
        <w:t>Nota: Las cifras comerciales son supuestos ilustrativos para la actividad; deben validarse antes de usarse en un contrato real.</w:t>
      </w:r>
    </w:p>
    <w:p>
      <w:pPr>
        <w:pStyle w:val="Heading1"/>
      </w:pPr>
      <w:r>
        <w:t>1. Situación y análisis de la contraparte</w:t>
      </w:r>
    </w:p>
    <w:p>
      <w:r>
        <w:t>Una cadena privada de ferreterías con 12 sedes necesita un sistema de inventario con licencia por sede y soporte anual. Solicita 25 % de descuento, pago a 90 días y entrega del código fuente. Sus decisores probables son gerencia, finanzas y tecnología. Busca reducir costos y centralizar inventarios; el proveedor necesita cobrar oportunamente, conservar la propiedad intelectual y delimitar el soporte.</w:t>
      </w:r>
    </w:p>
    <w:p>
      <w:pPr>
        <w:pStyle w:val="Heading1"/>
      </w:pPr>
      <w:r>
        <w:t>2. Precio, BATNA y ZOPA</w:t>
      </w:r>
    </w:p>
    <w:tbl>
      <w:tblPr>
        <w:tblStyle w:val="TableGrid"/>
        <w:tblW w:type="auto" w:w="0"/>
        <w:tblLook w:firstColumn="1" w:firstRow="1" w:lastColumn="0" w:lastRow="0" w:noHBand="0" w:noVBand="1" w:val="04A0"/>
      </w:tblPr>
      <w:tblGrid>
        <w:gridCol w:w="5040"/>
        <w:gridCol w:w="5040"/>
      </w:tblGrid>
      <w:tr>
        <w:tc>
          <w:tcPr>
            <w:tcW w:type="dxa" w:w="5040"/>
          </w:tcPr>
          <w:p>
            <w:r>
              <w:t>Concepto</w:t>
            </w:r>
          </w:p>
        </w:tc>
        <w:tc>
          <w:tcPr>
            <w:tcW w:type="dxa" w:w="5040"/>
          </w:tcPr>
          <w:p>
            <w:r>
              <w:t>Propuesta</w:t>
            </w:r>
          </w:p>
        </w:tc>
      </w:tr>
      <w:tr>
        <w:tc>
          <w:tcPr>
            <w:tcW w:type="dxa" w:w="5040"/>
          </w:tcPr>
          <w:p>
            <w:r>
              <w:t>Precio de lista de licencias</w:t>
            </w:r>
          </w:p>
        </w:tc>
        <w:tc>
          <w:tcPr>
            <w:tcW w:type="dxa" w:w="5040"/>
          </w:tcPr>
          <w:p>
            <w:r>
              <w:t>$8.000.000 por sede × 12 = $96.000.000.</w:t>
            </w:r>
          </w:p>
        </w:tc>
      </w:tr>
      <w:tr>
        <w:tc>
          <w:tcPr>
            <w:tcW w:type="dxa" w:w="5040"/>
          </w:tcPr>
          <w:p>
            <w:r>
              <w:t>Soporte anual</w:t>
            </w:r>
          </w:p>
        </w:tc>
        <w:tc>
          <w:tcPr>
            <w:tcW w:type="dxa" w:w="5040"/>
          </w:tcPr>
          <w:p>
            <w:r>
              <w:t>$9.600.000 por las 12 sedes (supuesto ilustrativo), horario laboral y soporte estándar.</w:t>
            </w:r>
          </w:p>
        </w:tc>
      </w:tr>
      <w:tr>
        <w:tc>
          <w:tcPr>
            <w:tcW w:type="dxa" w:w="5040"/>
          </w:tcPr>
          <w:p>
            <w:r>
              <w:t>Precio objetivo de licencias</w:t>
            </w:r>
          </w:p>
        </w:tc>
        <w:tc>
          <w:tcPr>
            <w:tcW w:type="dxa" w:w="5040"/>
          </w:tcPr>
          <w:p>
            <w:r>
              <w:t>$86.400.000, con descuento del 10 %; soporte cotizado aparte.</w:t>
            </w:r>
          </w:p>
        </w:tc>
      </w:tr>
      <w:tr>
        <w:tc>
          <w:tcPr>
            <w:tcW w:type="dxa" w:w="5040"/>
          </w:tcPr>
          <w:p>
            <w:r>
              <w:t>Precio piso de licencias</w:t>
            </w:r>
          </w:p>
        </w:tc>
        <w:tc>
          <w:tcPr>
            <w:tcW w:type="dxa" w:w="5040"/>
          </w:tcPr>
          <w:p>
            <w:r>
              <w:t>$84.000.000, descuento máximo aproximado del 12,5 %; no incluye código fuente.</w:t>
            </w:r>
          </w:p>
        </w:tc>
      </w:tr>
      <w:tr>
        <w:tc>
          <w:tcPr>
            <w:tcW w:type="dxa" w:w="5040"/>
          </w:tcPr>
          <w:p>
            <w:r>
              <w:t>BATNA proveedor</w:t>
            </w:r>
          </w:p>
        </w:tc>
        <w:tc>
          <w:tcPr>
            <w:tcW w:type="dxa" w:w="5040"/>
          </w:tcPr>
          <w:p>
            <w:r>
              <w:t>Ofrecer el sistema a otros clientes o proponer implementación por fases.</w:t>
            </w:r>
          </w:p>
        </w:tc>
      </w:tr>
      <w:tr>
        <w:tc>
          <w:tcPr>
            <w:tcW w:type="dxa" w:w="5040"/>
          </w:tcPr>
          <w:p>
            <w:r>
              <w:t>BATNA comprador</w:t>
            </w:r>
          </w:p>
        </w:tc>
        <w:tc>
          <w:tcPr>
            <w:tcW w:type="dxa" w:w="5040"/>
          </w:tcPr>
          <w:p>
            <w:r>
              <w:t>Cotizar alternativas o mantener temporalmente el proceso actual.</w:t>
            </w:r>
          </w:p>
        </w:tc>
      </w:tr>
      <w:tr>
        <w:tc>
          <w:tcPr>
            <w:tcW w:type="dxa" w:w="5040"/>
          </w:tcPr>
          <w:p>
            <w:r>
              <w:t>ZOPA estimada</w:t>
            </w:r>
          </w:p>
        </w:tc>
        <w:tc>
          <w:tcPr>
            <w:tcW w:type="dxa" w:w="5040"/>
          </w:tcPr>
          <w:p>
            <w:r>
              <w:t>Si el máximo del comprador equivale a 25 % de descuento, pagaría $72.000.000. Como el piso del proveedor es $84.000.000, no hay ZOPA con esas condiciones; se debe ajustar descuento, alcance o pagos.</w:t>
            </w:r>
          </w:p>
        </w:tc>
      </w:tr>
    </w:tbl>
    <w:p>
      <w:pPr>
        <w:pStyle w:val="Heading1"/>
      </w:pPr>
      <w:r>
        <w:t>3. Plan de concesiones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Petición</w:t>
            </w:r>
          </w:p>
        </w:tc>
        <w:tc>
          <w:tcPr>
            <w:tcW w:type="dxa" w:w="2520"/>
          </w:tcPr>
          <w:p>
            <w:r>
              <w:t>Concesión posible</w:t>
            </w:r>
          </w:p>
        </w:tc>
        <w:tc>
          <w:tcPr>
            <w:tcW w:type="dxa" w:w="2520"/>
          </w:tcPr>
          <w:p>
            <w:r>
              <w:t>Qué se pide a cambio</w:t>
            </w:r>
          </w:p>
        </w:tc>
        <w:tc>
          <w:tcPr>
            <w:tcW w:type="dxa" w:w="2520"/>
          </w:tcPr>
          <w:p>
            <w:r>
              <w:t>Límite</w:t>
            </w:r>
          </w:p>
        </w:tc>
      </w:tr>
      <w:tr>
        <w:tc>
          <w:tcPr>
            <w:tcW w:type="dxa" w:w="2520"/>
          </w:tcPr>
          <w:p>
            <w:r>
              <w:t>25 % de descuento</w:t>
            </w:r>
          </w:p>
        </w:tc>
        <w:tc>
          <w:tcPr>
            <w:tcW w:type="dxa" w:w="2520"/>
          </w:tcPr>
          <w:p>
            <w:r>
              <w:t>Ofrecer 10 % inicialmente; evaluar hasta 12,5 %.</w:t>
            </w:r>
          </w:p>
        </w:tc>
        <w:tc>
          <w:tcPr>
            <w:tcW w:type="dxa" w:w="2520"/>
          </w:tcPr>
          <w:p>
            <w:r>
              <w:t>Compra de las 12 licencias y pagos por hitos.</w:t>
            </w:r>
          </w:p>
        </w:tc>
        <w:tc>
          <w:tcPr>
            <w:tcW w:type="dxa" w:w="2520"/>
          </w:tcPr>
          <w:p>
            <w:r>
              <w:t>No bajar de $84.000.000 por licencias.</w:t>
            </w:r>
          </w:p>
        </w:tc>
      </w:tr>
      <w:tr>
        <w:tc>
          <w:tcPr>
            <w:tcW w:type="dxa" w:w="2520"/>
          </w:tcPr>
          <w:p>
            <w:r>
              <w:t>Pago a 90 días</w:t>
            </w:r>
          </w:p>
        </w:tc>
        <w:tc>
          <w:tcPr>
            <w:tcW w:type="dxa" w:w="2520"/>
          </w:tcPr>
          <w:p>
            <w:r>
              <w:t>Proponer 30 % al firmar, 40 % al instalar y 30 % a 30 días de aceptación.</w:t>
            </w:r>
          </w:p>
        </w:tc>
        <w:tc>
          <w:tcPr>
            <w:tcW w:type="dxa" w:w="2520"/>
          </w:tcPr>
          <w:p>
            <w:r>
              <w:t>Calendario firmado y evaluación financiera.</w:t>
            </w:r>
          </w:p>
        </w:tc>
        <w:tc>
          <w:tcPr>
            <w:tcW w:type="dxa" w:w="2520"/>
          </w:tcPr>
          <w:p>
            <w:r>
              <w:t>No financiar todo por 90 días sin garantías.</w:t>
            </w:r>
          </w:p>
        </w:tc>
      </w:tr>
      <w:tr>
        <w:tc>
          <w:tcPr>
            <w:tcW w:type="dxa" w:w="2520"/>
          </w:tcPr>
          <w:p>
            <w:r>
              <w:t>Código fuente</w:t>
            </w:r>
          </w:p>
        </w:tc>
        <w:tc>
          <w:tcPr>
            <w:tcW w:type="dxa" w:w="2520"/>
          </w:tcPr>
          <w:p>
            <w:r>
              <w:t>Licencia de uso, documentación acordada o evaluar escrow/acceso limitado.</w:t>
            </w:r>
          </w:p>
        </w:tc>
        <w:tc>
          <w:tcPr>
            <w:tcW w:type="dxa" w:w="2520"/>
          </w:tcPr>
          <w:p>
            <w:r>
              <w:t>Precio y condiciones separados por escrito.</w:t>
            </w:r>
          </w:p>
        </w:tc>
        <w:tc>
          <w:tcPr>
            <w:tcW w:type="dxa" w:w="2520"/>
          </w:tcPr>
          <w:p>
            <w:r>
              <w:t>No entregar gratuitamente componentes propios.</w:t>
            </w:r>
          </w:p>
        </w:tc>
      </w:tr>
      <w:tr>
        <w:tc>
          <w:tcPr>
            <w:tcW w:type="dxa" w:w="2520"/>
          </w:tcPr>
          <w:p>
            <w:r>
              <w:t>Soporte anual</w:t>
            </w:r>
          </w:p>
        </w:tc>
        <w:tc>
          <w:tcPr>
            <w:tcW w:type="dxa" w:w="2520"/>
          </w:tcPr>
          <w:p>
            <w:r>
              <w:t>Soporte estándar según anexo.</w:t>
            </w:r>
          </w:p>
        </w:tc>
        <w:tc>
          <w:tcPr>
            <w:tcW w:type="dxa" w:w="2520"/>
          </w:tcPr>
          <w:p>
            <w:r>
              <w:t>Uso conforme a licencia y canal de atención acordado.</w:t>
            </w:r>
          </w:p>
        </w:tc>
        <w:tc>
          <w:tcPr>
            <w:tcW w:type="dxa" w:w="2520"/>
          </w:tcPr>
          <w:p>
            <w:r>
              <w:t>24/7, nuevas funciones y visitas se cotizan aparte.</w:t>
            </w:r>
          </w:p>
        </w:tc>
      </w:tr>
    </w:tbl>
    <w:p>
      <w:pPr>
        <w:pStyle w:val="Heading1"/>
      </w:pPr>
      <w:r>
        <w:t>4. Documentos priorizados</w:t>
      </w:r>
    </w:p>
    <w:tbl>
      <w:tblPr>
        <w:tblStyle w:val="TableGrid"/>
        <w:tblW w:type="auto" w:w="0"/>
        <w:tblLook w:firstColumn="1" w:firstRow="1" w:lastColumn="0" w:lastRow="0" w:noHBand="0" w:noVBand="1" w:val="04A0"/>
      </w:tblPr>
      <w:tblGrid>
        <w:gridCol w:w="3360"/>
        <w:gridCol w:w="3360"/>
        <w:gridCol w:w="3360"/>
      </w:tblGrid>
      <w:tr>
        <w:tc>
          <w:tcPr>
            <w:tcW w:type="dxa" w:w="3360"/>
          </w:tcPr>
          <w:p>
            <w:r>
              <w:t>Prioridad</w:t>
            </w:r>
          </w:p>
        </w:tc>
        <w:tc>
          <w:tcPr>
            <w:tcW w:type="dxa" w:w="3360"/>
          </w:tcPr>
          <w:p>
            <w:r>
              <w:t>Documento</w:t>
            </w:r>
          </w:p>
        </w:tc>
        <w:tc>
          <w:tcPr>
            <w:tcW w:type="dxa" w:w="3360"/>
          </w:tcPr>
          <w:p>
            <w:r>
              <w:t>Contenido</w:t>
            </w:r>
          </w:p>
        </w:tc>
      </w:tr>
      <w:tr>
        <w:tc>
          <w:tcPr>
            <w:tcW w:type="dxa" w:w="3360"/>
          </w:tcPr>
          <w:p>
            <w:r>
              <w:t>1</w:t>
            </w:r>
          </w:p>
        </w:tc>
        <w:tc>
          <w:tcPr>
            <w:tcW w:type="dxa" w:w="3360"/>
          </w:tcPr>
          <w:p>
            <w:r>
              <w:t>Análisis de contraparte</w:t>
            </w:r>
          </w:p>
        </w:tc>
        <w:tc>
          <w:tcPr>
            <w:tcW w:type="dxa" w:w="3360"/>
          </w:tcPr>
          <w:p>
            <w:r>
              <w:t>Decisores, necesidad, presupuesto, alternativas y riesgos.</w:t>
            </w:r>
          </w:p>
        </w:tc>
      </w:tr>
      <w:tr>
        <w:tc>
          <w:tcPr>
            <w:tcW w:type="dxa" w:w="3360"/>
          </w:tcPr>
          <w:p>
            <w:r>
              <w:t>2</w:t>
            </w:r>
          </w:p>
        </w:tc>
        <w:tc>
          <w:tcPr>
            <w:tcW w:type="dxa" w:w="3360"/>
          </w:tcPr>
          <w:p>
            <w:r>
              <w:t>Propuesta comercial y TCO</w:t>
            </w:r>
          </w:p>
        </w:tc>
        <w:tc>
          <w:tcPr>
            <w:tcW w:type="dxa" w:w="3360"/>
          </w:tcPr>
          <w:p>
            <w:r>
              <w:t>Licencias, soporte anual, implementación, capacitación, impuestos y pagos.</w:t>
            </w:r>
          </w:p>
        </w:tc>
      </w:tr>
      <w:tr>
        <w:tc>
          <w:tcPr>
            <w:tcW w:type="dxa" w:w="3360"/>
          </w:tcPr>
          <w:p>
            <w:r>
              <w:t>3</w:t>
            </w:r>
          </w:p>
        </w:tc>
        <w:tc>
          <w:tcPr>
            <w:tcW w:type="dxa" w:w="3360"/>
          </w:tcPr>
          <w:p>
            <w:r>
              <w:t>Caso de negocio/ROI</w:t>
            </w:r>
          </w:p>
        </w:tc>
        <w:tc>
          <w:tcPr>
            <w:tcW w:type="dxa" w:w="3360"/>
          </w:tcPr>
          <w:p>
            <w:r>
              <w:t>Beneficios, ahorro de tiempo, reducción de errores y supuestos.</w:t>
            </w:r>
          </w:p>
        </w:tc>
      </w:tr>
      <w:tr>
        <w:tc>
          <w:tcPr>
            <w:tcW w:type="dxa" w:w="3360"/>
          </w:tcPr>
          <w:p>
            <w:r>
              <w:t>4</w:t>
            </w:r>
          </w:p>
        </w:tc>
        <w:tc>
          <w:tcPr>
            <w:tcW w:type="dxa" w:w="3360"/>
          </w:tcPr>
          <w:p>
            <w:r>
              <w:t>Ficha técnica y seguridad</w:t>
            </w:r>
          </w:p>
        </w:tc>
        <w:tc>
          <w:tcPr>
            <w:tcW w:type="dxa" w:w="3360"/>
          </w:tcPr>
          <w:p>
            <w:r>
              <w:t>Arquitectura, accesos, auditoría, respaldos y actualizaciones.</w:t>
            </w:r>
          </w:p>
        </w:tc>
      </w:tr>
      <w:tr>
        <w:tc>
          <w:tcPr>
            <w:tcW w:type="dxa" w:w="3360"/>
          </w:tcPr>
          <w:p>
            <w:r>
              <w:t>5</w:t>
            </w:r>
          </w:p>
        </w:tc>
        <w:tc>
          <w:tcPr>
            <w:tcW w:type="dxa" w:w="3360"/>
          </w:tcPr>
          <w:p>
            <w:r>
              <w:t>NDA</w:t>
            </w:r>
          </w:p>
        </w:tc>
        <w:tc>
          <w:tcPr>
            <w:tcW w:type="dxa" w:w="3360"/>
          </w:tcPr>
          <w:p>
            <w:r>
              <w:t>Confidencialidad, uso, duración y devolución/destrucción.</w:t>
            </w:r>
          </w:p>
        </w:tc>
      </w:tr>
      <w:tr>
        <w:tc>
          <w:tcPr>
            <w:tcW w:type="dxa" w:w="3360"/>
          </w:tcPr>
          <w:p>
            <w:r>
              <w:t>6</w:t>
            </w:r>
          </w:p>
        </w:tc>
        <w:tc>
          <w:tcPr>
            <w:tcW w:type="dxa" w:w="3360"/>
          </w:tcPr>
          <w:p>
            <w:r>
              <w:t>Contrato de licencia</w:t>
            </w:r>
          </w:p>
        </w:tc>
        <w:tc>
          <w:tcPr>
            <w:tcW w:type="dxa" w:w="3360"/>
          </w:tcPr>
          <w:p>
            <w:r>
              <w:t>Sedes, alcance, vigencia, restricciones, propiedad intelectual y terminación.</w:t>
            </w:r>
          </w:p>
        </w:tc>
      </w:tr>
      <w:tr>
        <w:tc>
          <w:tcPr>
            <w:tcW w:type="dxa" w:w="3360"/>
          </w:tcPr>
          <w:p>
            <w:r>
              <w:t>7</w:t>
            </w:r>
          </w:p>
        </w:tc>
        <w:tc>
          <w:tcPr>
            <w:tcW w:type="dxa" w:w="3360"/>
          </w:tcPr>
          <w:p>
            <w:r>
              <w:t>Anexo de soporte</w:t>
            </w:r>
          </w:p>
        </w:tc>
        <w:tc>
          <w:tcPr>
            <w:tcW w:type="dxa" w:w="3360"/>
          </w:tcPr>
          <w:p>
            <w:r>
              <w:t>Horario, canales, tiempos de respuesta, exclusiones y valor anual.</w:t>
            </w:r>
          </w:p>
        </w:tc>
      </w:tr>
      <w:tr>
        <w:tc>
          <w:tcPr>
            <w:tcW w:type="dxa" w:w="3360"/>
          </w:tcPr>
          <w:p>
            <w:r>
              <w:t>8</w:t>
            </w:r>
          </w:p>
        </w:tc>
        <w:tc>
          <w:tcPr>
            <w:tcW w:type="dxa" w:w="3360"/>
          </w:tcPr>
          <w:p>
            <w:r>
              <w:t>Implementación y aceptación</w:t>
            </w:r>
          </w:p>
        </w:tc>
        <w:tc>
          <w:tcPr>
            <w:tcW w:type="dxa" w:w="3360"/>
          </w:tcPr>
          <w:p>
            <w:r>
              <w:t>Hitos, pruebas y acta de aceptación.</w:t>
            </w:r>
          </w:p>
        </w:tc>
      </w:tr>
    </w:tbl>
    <w:p>
      <w:pPr>
        <w:pStyle w:val="Heading1"/>
      </w:pPr>
      <w:r>
        <w:t>5. Cláusula contractual propuesta: licencia</w:t>
      </w:r>
    </w:p>
    <w:p>
      <w:r>
        <w:t>“El proveedor concede al cliente una licencia de uso no exclusiva e intransferible, por tiempo indefinido, para utilizar el sistema en las doce (12) sedes identificadas en la propuesta, sujeto al cumplimiento de las obligaciones de pago. La licencia no transfiere la titularidad del software ni implica entrega del código fuente. El soporte anual se presta por el precio, horario y alcance del anexo de soporte. Cualquier cesión de derechos patrimoniales, entrega de código fuente o depósito en custodia deberá constar en acuerdo escrito independiente, con precio y condiciones definidos.”</w:t>
      </w:r>
    </w:p>
    <w:p>
      <w:pPr>
        <w:pStyle w:val="Heading1"/>
      </w:pPr>
      <w:r>
        <w:t>6. Respuesta sobre el código fuente</w:t>
      </w:r>
    </w:p>
    <w:p>
      <w:r>
        <w:t>La licencia permite operar el sistema en las doce sedes, pero no transfiere la propiedad del código fuente. Podemos evaluar mecanismos de continuidad, como depósito en custodia o una cesión negociada por separado, con alcance y precio definidos.</w:t>
      </w:r>
    </w:p>
    <w:p>
      <w:pPr>
        <w:pStyle w:val="Heading1"/>
      </w:pPr>
      <w:r>
        <w:t>7. Objeciones y respuestas</w:t>
      </w:r>
    </w:p>
    <w:p>
      <w:pPr>
        <w:pStyle w:val="ListBullet"/>
      </w:pPr>
      <w:r>
        <w:t>“Otro proveedor ofrece 25 % de descuento”: comparemos costo total, implementación, soporte y continuidad; podemos revisar un descuento menor condicionado al volumen y los pagos.</w:t>
      </w:r>
    </w:p>
    <w:p>
      <w:pPr>
        <w:pStyle w:val="ListBullet"/>
      </w:pPr>
      <w:r>
        <w:t>“Necesitamos pagar a 90 días”: proponemos pagos por hitos; un plazo mayor requiere evaluación financiera y acuerdo escrito.</w:t>
      </w:r>
    </w:p>
    <w:p>
      <w:pPr>
        <w:pStyle w:val="ListBullet"/>
      </w:pPr>
      <w:r>
        <w:t>“Sin código fuente no compramos”: podemos evaluar escrow o cesión específica con precio separado.</w:t>
      </w:r>
    </w:p>
    <w:p>
      <w:pPr>
        <w:pStyle w:val="ListBullet"/>
      </w:pPr>
      <w:r>
        <w:t>“El soporte debe incluir todo”: definiremos horario y alcance; desarrollos nuevos y soporte 24/7 se cotizan aparte.</w:t>
      </w:r>
    </w:p>
    <w:p>
      <w:pPr>
        <w:pStyle w:val="Heading1"/>
      </w:pPr>
      <w:r>
        <w:t>8. Anexo de cifras</w:t>
      </w:r>
    </w:p>
    <w:tbl>
      <w:tblPr>
        <w:tblStyle w:val="TableGrid"/>
        <w:tblW w:type="auto" w:w="0"/>
        <w:tblLook w:firstColumn="1" w:firstRow="1" w:lastColumn="0" w:lastRow="0" w:noHBand="0" w:noVBand="1" w:val="04A0"/>
      </w:tblPr>
      <w:tblGrid>
        <w:gridCol w:w="5040"/>
        <w:gridCol w:w="5040"/>
      </w:tblGrid>
      <w:tr>
        <w:tc>
          <w:tcPr>
            <w:tcW w:type="dxa" w:w="5040"/>
          </w:tcPr>
          <w:p>
            <w:r>
              <w:t>Variable</w:t>
            </w:r>
          </w:p>
        </w:tc>
        <w:tc>
          <w:tcPr>
            <w:tcW w:type="dxa" w:w="5040"/>
          </w:tcPr>
          <w:p>
            <w:r>
              <w:t>Valor</w:t>
            </w:r>
          </w:p>
        </w:tc>
      </w:tr>
      <w:tr>
        <w:tc>
          <w:tcPr>
            <w:tcW w:type="dxa" w:w="5040"/>
          </w:tcPr>
          <w:p>
            <w:r>
              <w:t>Licencias lista</w:t>
            </w:r>
          </w:p>
        </w:tc>
        <w:tc>
          <w:tcPr>
            <w:tcW w:type="dxa" w:w="5040"/>
          </w:tcPr>
          <w:p>
            <w:r>
              <w:t>$96.000.000</w:t>
            </w:r>
          </w:p>
        </w:tc>
      </w:tr>
      <w:tr>
        <w:tc>
          <w:tcPr>
            <w:tcW w:type="dxa" w:w="5040"/>
          </w:tcPr>
          <w:p>
            <w:r>
              <w:t>Precio objetivo</w:t>
            </w:r>
          </w:p>
        </w:tc>
        <w:tc>
          <w:tcPr>
            <w:tcW w:type="dxa" w:w="5040"/>
          </w:tcPr>
          <w:p>
            <w:r>
              <w:t>$86.400.000</w:t>
            </w:r>
          </w:p>
        </w:tc>
      </w:tr>
      <w:tr>
        <w:tc>
          <w:tcPr>
            <w:tcW w:type="dxa" w:w="5040"/>
          </w:tcPr>
          <w:p>
            <w:r>
              <w:t>Precio piso</w:t>
            </w:r>
          </w:p>
        </w:tc>
        <w:tc>
          <w:tcPr>
            <w:tcW w:type="dxa" w:w="5040"/>
          </w:tcPr>
          <w:p>
            <w:r>
              <w:t>$84.000.000</w:t>
            </w:r>
          </w:p>
        </w:tc>
      </w:tr>
      <w:tr>
        <w:tc>
          <w:tcPr>
            <w:tcW w:type="dxa" w:w="5040"/>
          </w:tcPr>
          <w:p>
            <w:r>
              <w:t>Soporte anual</w:t>
            </w:r>
          </w:p>
        </w:tc>
        <w:tc>
          <w:tcPr>
            <w:tcW w:type="dxa" w:w="5040"/>
          </w:tcPr>
          <w:p>
            <w:r>
              <w:t>$9.600.000</w:t>
            </w:r>
          </w:p>
        </w:tc>
      </w:tr>
      <w:tr>
        <w:tc>
          <w:tcPr>
            <w:tcW w:type="dxa" w:w="5040"/>
          </w:tcPr>
          <w:p>
            <w:r>
              <w:t>Pago propuesto</w:t>
            </w:r>
          </w:p>
        </w:tc>
        <w:tc>
          <w:tcPr>
            <w:tcW w:type="dxa" w:w="5040"/>
          </w:tcPr>
          <w:p>
            <w:r>
              <w:t>30 % firma / 40 % instalación / 30 % aceptación a 30 días</w:t>
            </w:r>
          </w:p>
        </w:tc>
      </w:tr>
      <w:tr>
        <w:tc>
          <w:tcPr>
            <w:tcW w:type="dxa" w:w="5040"/>
          </w:tcPr>
          <w:p>
            <w:r>
              <w:t>Código fuente</w:t>
            </w:r>
          </w:p>
        </w:tc>
        <w:tc>
          <w:tcPr>
            <w:tcW w:type="dxa" w:w="5040"/>
          </w:tcPr>
          <w:p>
            <w:r>
              <w:t>No incluido; negociación separada</w:t>
            </w:r>
          </w:p>
        </w:tc>
      </w:tr>
    </w:tbl>
    <w:p>
      <w:pPr>
        <w:pStyle w:val="Heading1"/>
      </w:pPr>
      <w:r>
        <w:t>9. Conclusión</w:t>
      </w:r>
    </w:p>
    <w:p>
      <w:r>
        <w:t>Se separan licencias, soporte y propiedad intelectual. Las concesiones dependen de compromisos verificables y no deben llevar el precio por debajo del piso.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