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NEGOCIACIÓN DE SOFTWARE: ACTIVIDADES Y ENTREGABLES</w:t>
      </w:r>
    </w:p>
    <w:p>
      <w:pPr>
        <w:jc w:val="center"/>
      </w:pPr>
      <w:r>
        <w:rPr>
          <w:b/>
          <w:sz w:val="26"/>
        </w:rPr>
        <w:t>CASO 2. SUSCRIPCIÓN SaaS PARA UNA IPS PRIVADA</w:t>
      </w:r>
    </w:p>
    <w:p>
      <w:r>
        <w:t>Empresa ficticia: Soluciones Digitales Andinas S.A.S.</w:t>
      </w:r>
    </w:p>
    <w:p>
      <w:r>
        <w:t>Aprendiz: Mariana ____________________</w:t>
      </w:r>
    </w:p>
    <w:p>
      <w:r>
        <w:t>Programa: Análisis y Desarrollo de Software – SENA</w:t>
      </w:r>
    </w:p>
    <w:p>
      <w:r>
        <w:t>Fecha: ____________________</w:t>
      </w:r>
    </w:p>
    <w:p>
      <w:r>
        <w:t>Nota: Las cifras comerciales son supuestos ilustrativos para la actividad; deben validarse antes de usarse en un contrato real.</w:t>
      </w:r>
    </w:p>
    <w:p>
      <w:pPr>
        <w:pStyle w:val="Heading1"/>
      </w:pPr>
      <w:r>
        <w:t>1. Situación y roles de datos</w:t>
      </w:r>
    </w:p>
    <w:p>
      <w:r>
        <w:t>Una IPS mediana desea contratar una plataforma de historias clínicas como SaaS. Exige 99,9 % de disponibilidad, penalidades altas y servidores en Colombia. Normalmente, la IPS es responsable del tratamiento cuando determina finalidades y medios; el proveedor es encargado cuando trata datos por cuenta de la IPS y bajo sus instrucciones. La información de salud es dato sensible conforme a la Ley 1581 de 2012.</w:t>
      </w:r>
    </w:p>
    <w:p>
      <w:pPr>
        <w:pStyle w:val="ListBullet"/>
      </w:pPr>
      <w:r>
        <w:t>El anexo de datos debe definir finalidad, instrucciones, acceso autorizado, confidencialidad, seguridad, subencargados, incidentes y devolución/supresión.</w:t>
      </w:r>
    </w:p>
    <w:p>
      <w:pPr>
        <w:pStyle w:val="ListBullet"/>
      </w:pPr>
      <w:r>
        <w:t>La conservación de historias clínicas debe respetar las obligaciones legales y sectoriales aplicables; no se eliminarán automáticamente sin verificar instrucciones y deberes de conservación de la IPS.</w:t>
      </w:r>
    </w:p>
    <w:p>
      <w:pPr>
        <w:pStyle w:val="Heading1"/>
      </w:pPr>
      <w:r>
        <w:t>2. SLA medible</w:t>
      </w:r>
    </w:p>
    <w:p>
      <w:r>
        <w:t>Objetivo propuesto: disponibilidad mensual mínima del 99,9 % del servicio productivo, incorporada como compromiso contractual después de validar arquitectura, infraestructura, monitoreo y dependencias. La fórmula será: (minutos del mes − minutos de indisponibilidad atribuible al proveedor) ÷ minutos del mes × 100. El 99,9 % equivale aproximadamente a 43 minutos de caída en un mes de 30 días, antes de exclusiones.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Severidad</w:t>
            </w:r>
          </w:p>
        </w:tc>
        <w:tc>
          <w:tcPr>
            <w:tcW w:type="dxa" w:w="2520"/>
          </w:tcPr>
          <w:p>
            <w:r>
              <w:t>Definición</w:t>
            </w:r>
          </w:p>
        </w:tc>
        <w:tc>
          <w:tcPr>
            <w:tcW w:type="dxa" w:w="2520"/>
          </w:tcPr>
          <w:p>
            <w:r>
              <w:t>Respuesta inicial</w:t>
            </w:r>
          </w:p>
        </w:tc>
        <w:tc>
          <w:tcPr>
            <w:tcW w:type="dxa" w:w="2520"/>
          </w:tcPr>
          <w:p>
            <w:r>
              <w:t>Resolución objetivo</w:t>
            </w:r>
          </w:p>
        </w:tc>
      </w:tr>
      <w:tr>
        <w:tc>
          <w:tcPr>
            <w:tcW w:type="dxa" w:w="2520"/>
          </w:tcPr>
          <w:p>
            <w:r>
              <w:t>1 – Crítica</w:t>
            </w:r>
          </w:p>
        </w:tc>
        <w:tc>
          <w:tcPr>
            <w:tcW w:type="dxa" w:w="2520"/>
          </w:tcPr>
          <w:p>
            <w:r>
              <w:t>Servicio caído o pérdida de datos.</w:t>
            </w:r>
          </w:p>
        </w:tc>
        <w:tc>
          <w:tcPr>
            <w:tcW w:type="dxa" w:w="2520"/>
          </w:tcPr>
          <w:p>
            <w:r>
              <w:t>1 hora, 24×7.</w:t>
            </w:r>
          </w:p>
        </w:tc>
        <w:tc>
          <w:tcPr>
            <w:tcW w:type="dxa" w:w="2520"/>
          </w:tcPr>
          <w:p>
            <w:r>
              <w:t>4 horas, como objetivo de restauración o mitigación.</w:t>
            </w:r>
          </w:p>
        </w:tc>
      </w:tr>
      <w:tr>
        <w:tc>
          <w:tcPr>
            <w:tcW w:type="dxa" w:w="2520"/>
          </w:tcPr>
          <w:p>
            <w:r>
              <w:t>2 – Alta</w:t>
            </w:r>
          </w:p>
        </w:tc>
        <w:tc>
          <w:tcPr>
            <w:tcW w:type="dxa" w:w="2520"/>
          </w:tcPr>
          <w:p>
            <w:r>
              <w:t>Función principal degradada sin alternativa razonable.</w:t>
            </w:r>
          </w:p>
        </w:tc>
        <w:tc>
          <w:tcPr>
            <w:tcW w:type="dxa" w:w="2520"/>
          </w:tcPr>
          <w:p>
            <w:r>
              <w:t>4 horas hábiles.</w:t>
            </w:r>
          </w:p>
        </w:tc>
        <w:tc>
          <w:tcPr>
            <w:tcW w:type="dxa" w:w="2520"/>
          </w:tcPr>
          <w:p>
            <w:r>
              <w:t>1 día hábil.</w:t>
            </w:r>
          </w:p>
        </w:tc>
      </w:tr>
      <w:tr>
        <w:tc>
          <w:tcPr>
            <w:tcW w:type="dxa" w:w="2520"/>
          </w:tcPr>
          <w:p>
            <w:r>
              <w:t>3 – Media</w:t>
            </w:r>
          </w:p>
        </w:tc>
        <w:tc>
          <w:tcPr>
            <w:tcW w:type="dxa" w:w="2520"/>
          </w:tcPr>
          <w:p>
            <w:r>
              <w:t>Falla parcial con alternativa.</w:t>
            </w:r>
          </w:p>
        </w:tc>
        <w:tc>
          <w:tcPr>
            <w:tcW w:type="dxa" w:w="2520"/>
          </w:tcPr>
          <w:p>
            <w:r>
              <w:t>1 día hábil.</w:t>
            </w:r>
          </w:p>
        </w:tc>
        <w:tc>
          <w:tcPr>
            <w:tcW w:type="dxa" w:w="2520"/>
          </w:tcPr>
          <w:p>
            <w:r>
              <w:t>5 días hábiles.</w:t>
            </w:r>
          </w:p>
        </w:tc>
      </w:tr>
      <w:tr>
        <w:tc>
          <w:tcPr>
            <w:tcW w:type="dxa" w:w="2520"/>
          </w:tcPr>
          <w:p>
            <w:r>
              <w:t>4 – Baja</w:t>
            </w:r>
          </w:p>
        </w:tc>
        <w:tc>
          <w:tcPr>
            <w:tcW w:type="dxa" w:w="2520"/>
          </w:tcPr>
          <w:p>
            <w:r>
              <w:t>Consulta o mejora.</w:t>
            </w:r>
          </w:p>
        </w:tc>
        <w:tc>
          <w:tcPr>
            <w:tcW w:type="dxa" w:w="2520"/>
          </w:tcPr>
          <w:p>
            <w:r>
              <w:t>2 días hábiles.</w:t>
            </w:r>
          </w:p>
        </w:tc>
        <w:tc>
          <w:tcPr>
            <w:tcW w:type="dxa" w:w="2520"/>
          </w:tcPr>
          <w:p>
            <w:r>
              <w:t>Planificada.</w:t>
            </w:r>
          </w:p>
        </w:tc>
      </w:tr>
    </w:tbl>
    <w:p>
      <w:pPr>
        <w:pStyle w:val="ListBullet"/>
      </w:pPr>
      <w:r>
        <w:t>Mantenimiento programado: se notifica previamente y solo se excluye según lo pactado.</w:t>
      </w:r>
    </w:p>
    <w:p>
      <w:pPr>
        <w:pStyle w:val="ListBullet"/>
      </w:pPr>
      <w:r>
        <w:t>Exclusiones: fallas de conectividad/equipos del cliente, fuerza mayor y fallas de terceros fuera del control razonable del proveedor, debidamente documentadas.</w:t>
      </w:r>
    </w:p>
    <w:p>
      <w:pPr>
        <w:pStyle w:val="ListBullet"/>
      </w:pPr>
      <w:r>
        <w:t>Créditos de servicio por incumplimiento: máximo 10 % de la tarifa mensual del servicio afectado. Las limitaciones no excluyen obligaciones que legalmente no puedan limitarse.</w:t>
      </w:r>
    </w:p>
    <w:p>
      <w:pPr>
        <w:pStyle w:val="Heading1"/>
      </w:pPr>
      <w:r>
        <w:t>3. Plan de concesiones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Petición</w:t>
            </w:r>
          </w:p>
        </w:tc>
        <w:tc>
          <w:tcPr>
            <w:tcW w:type="dxa" w:w="2520"/>
          </w:tcPr>
          <w:p>
            <w:r>
              <w:t>Concesión posible</w:t>
            </w:r>
          </w:p>
        </w:tc>
        <w:tc>
          <w:tcPr>
            <w:tcW w:type="dxa" w:w="2520"/>
          </w:tcPr>
          <w:p>
            <w:r>
              <w:t>Qué se pide a cambio</w:t>
            </w:r>
          </w:p>
        </w:tc>
        <w:tc>
          <w:tcPr>
            <w:tcW w:type="dxa" w:w="2520"/>
          </w:tcPr>
          <w:p>
            <w:r>
              <w:t>Límite</w:t>
            </w:r>
          </w:p>
        </w:tc>
      </w:tr>
      <w:tr>
        <w:tc>
          <w:tcPr>
            <w:tcW w:type="dxa" w:w="2520"/>
          </w:tcPr>
          <w:p>
            <w:r>
              <w:t>99,9 %</w:t>
            </w:r>
          </w:p>
        </w:tc>
        <w:tc>
          <w:tcPr>
            <w:tcW w:type="dxa" w:w="2520"/>
          </w:tcPr>
          <w:p>
            <w:r>
              <w:t>Compromiso mensual medible tras validación técnica.</w:t>
            </w:r>
          </w:p>
        </w:tc>
        <w:tc>
          <w:tcPr>
            <w:tcW w:type="dxa" w:w="2520"/>
          </w:tcPr>
          <w:p>
            <w:r>
              <w:t>Monitoreo acordado, plazo contractual y responsabilidades definidas.</w:t>
            </w:r>
          </w:p>
        </w:tc>
        <w:tc>
          <w:tcPr>
            <w:tcW w:type="dxa" w:w="2520"/>
          </w:tcPr>
          <w:p>
            <w:r>
              <w:t>No asumir dependencias fuera del control del proveedor.</w:t>
            </w:r>
          </w:p>
        </w:tc>
      </w:tr>
      <w:tr>
        <w:tc>
          <w:tcPr>
            <w:tcW w:type="dxa" w:w="2520"/>
          </w:tcPr>
          <w:p>
            <w:r>
              <w:t>Penalidades altas</w:t>
            </w:r>
          </w:p>
        </w:tc>
        <w:tc>
          <w:tcPr>
            <w:tcW w:type="dxa" w:w="2520"/>
          </w:tcPr>
          <w:p>
            <w:r>
              <w:t>Créditos proporcionales con tope.</w:t>
            </w:r>
          </w:p>
        </w:tc>
        <w:tc>
          <w:tcPr>
            <w:tcW w:type="dxa" w:w="2520"/>
          </w:tcPr>
          <w:p>
            <w:r>
              <w:t>Fórmula, tarifa afectada, exclusiones y procedimiento de reclamación.</w:t>
            </w:r>
          </w:p>
        </w:tc>
        <w:tc>
          <w:tcPr>
            <w:tcW w:type="dxa" w:w="2520"/>
          </w:tcPr>
          <w:p>
            <w:r>
              <w:t>No aceptar penalidades ilimitadas o duplicadas.</w:t>
            </w:r>
          </w:p>
        </w:tc>
      </w:tr>
      <w:tr>
        <w:tc>
          <w:tcPr>
            <w:tcW w:type="dxa" w:w="2520"/>
          </w:tcPr>
          <w:p>
            <w:r>
              <w:t>Servidores en Colombia</w:t>
            </w:r>
          </w:p>
        </w:tc>
        <w:tc>
          <w:tcPr>
            <w:tcW w:type="dxa" w:w="2520"/>
          </w:tcPr>
          <w:p>
            <w:r>
              <w:t>Usar región colombiana si se garantiza por escrito.</w:t>
            </w:r>
          </w:p>
        </w:tc>
        <w:tc>
          <w:tcPr>
            <w:tcW w:type="dxa" w:w="2520"/>
          </w:tcPr>
          <w:p>
            <w:r>
              <w:t>Aceptación de precio y subencargados identificados.</w:t>
            </w:r>
          </w:p>
        </w:tc>
        <w:tc>
          <w:tcPr>
            <w:tcW w:type="dxa" w:w="2520"/>
          </w:tcPr>
          <w:p>
            <w:r>
              <w:t>No prometer ubicación no confirmada.</w:t>
            </w:r>
          </w:p>
        </w:tc>
      </w:tr>
      <w:tr>
        <w:tc>
          <w:tcPr>
            <w:tcW w:type="dxa" w:w="2520"/>
          </w:tcPr>
          <w:p>
            <w:r>
              <w:t>Seguridad adicional</w:t>
            </w:r>
          </w:p>
        </w:tc>
        <w:tc>
          <w:tcPr>
            <w:tcW w:type="dxa" w:w="2520"/>
          </w:tcPr>
          <w:p>
            <w:r>
              <w:t>Controles definidos en ficha técnica.</w:t>
            </w:r>
          </w:p>
        </w:tc>
        <w:tc>
          <w:tcPr>
            <w:tcW w:type="dxa" w:w="2520"/>
          </w:tcPr>
          <w:p>
            <w:r>
              <w:t>Responsables y obligaciones de la IPS documentados.</w:t>
            </w:r>
          </w:p>
        </w:tc>
        <w:tc>
          <w:tcPr>
            <w:tcW w:type="dxa" w:w="2520"/>
          </w:tcPr>
          <w:p>
            <w:r>
              <w:t>Auditorías especiales o controles nuevos se cotizan.</w:t>
            </w:r>
          </w:p>
        </w:tc>
      </w:tr>
    </w:tbl>
    <w:p>
      <w:pPr>
        <w:pStyle w:val="Heading1"/>
      </w:pPr>
      <w:r>
        <w:t>4. Documentos priorizados</w:t>
      </w:r>
    </w:p>
    <w:tbl>
      <w:tblPr>
        <w:tblStyle w:val="TableGrid"/>
        <w:tblW w:type="auto" w:w="0"/>
        <w:tblLook w:firstColumn="1" w:firstRow="1" w:lastColumn="0" w:lastRow="0" w:noHBand="0" w:noVBand="1" w:val="04A0"/>
      </w:tblPr>
      <w:tblGrid>
        <w:gridCol w:w="3360"/>
        <w:gridCol w:w="3360"/>
        <w:gridCol w:w="3360"/>
      </w:tblGrid>
      <w:tr>
        <w:tc>
          <w:tcPr>
            <w:tcW w:type="dxa" w:w="3360"/>
          </w:tcPr>
          <w:p>
            <w:r>
              <w:t>Prioridad</w:t>
            </w:r>
          </w:p>
        </w:tc>
        <w:tc>
          <w:tcPr>
            <w:tcW w:type="dxa" w:w="3360"/>
          </w:tcPr>
          <w:p>
            <w:r>
              <w:t>Documento</w:t>
            </w:r>
          </w:p>
        </w:tc>
        <w:tc>
          <w:tcPr>
            <w:tcW w:type="dxa" w:w="3360"/>
          </w:tcPr>
          <w:p>
            <w:r>
              <w:t>Contenido</w:t>
            </w:r>
          </w:p>
        </w:tc>
      </w:tr>
      <w:tr>
        <w:tc>
          <w:tcPr>
            <w:tcW w:type="dxa" w:w="3360"/>
          </w:tcPr>
          <w:p>
            <w:r>
              <w:t>1</w:t>
            </w:r>
          </w:p>
        </w:tc>
        <w:tc>
          <w:tcPr>
            <w:tcW w:type="dxa" w:w="3360"/>
          </w:tcPr>
          <w:p>
            <w:r>
              <w:t>Propuesta SaaS/TCO</w:t>
            </w:r>
          </w:p>
        </w:tc>
        <w:tc>
          <w:tcPr>
            <w:tcW w:type="dxa" w:w="3360"/>
          </w:tcPr>
          <w:p>
            <w:r>
              <w:t>Suscripción, implementación, almacenamiento, capacitación y soporte.</w:t>
            </w:r>
          </w:p>
        </w:tc>
      </w:tr>
      <w:tr>
        <w:tc>
          <w:tcPr>
            <w:tcW w:type="dxa" w:w="3360"/>
          </w:tcPr>
          <w:p>
            <w:r>
              <w:t>2</w:t>
            </w:r>
          </w:p>
        </w:tc>
        <w:tc>
          <w:tcPr>
            <w:tcW w:type="dxa" w:w="3360"/>
          </w:tcPr>
          <w:p>
            <w:r>
              <w:t>Contrato SaaS</w:t>
            </w:r>
          </w:p>
        </w:tc>
        <w:tc>
          <w:tcPr>
            <w:tcW w:type="dxa" w:w="3360"/>
          </w:tcPr>
          <w:p>
            <w:r>
              <w:t>Servicio, vigencia, pagos, terminación y responsabilidades.</w:t>
            </w:r>
          </w:p>
        </w:tc>
      </w:tr>
      <w:tr>
        <w:tc>
          <w:tcPr>
            <w:tcW w:type="dxa" w:w="3360"/>
          </w:tcPr>
          <w:p>
            <w:r>
              <w:t>3</w:t>
            </w:r>
          </w:p>
        </w:tc>
        <w:tc>
          <w:tcPr>
            <w:tcW w:type="dxa" w:w="3360"/>
          </w:tcPr>
          <w:p>
            <w:r>
              <w:t>SLA</w:t>
            </w:r>
          </w:p>
        </w:tc>
        <w:tc>
          <w:tcPr>
            <w:tcW w:type="dxa" w:w="3360"/>
          </w:tcPr>
          <w:p>
            <w:r>
              <w:t>Fórmula, disponibilidad, severidades, respuesta, mantenimiento, exclusiones y créditos.</w:t>
            </w:r>
          </w:p>
        </w:tc>
      </w:tr>
      <w:tr>
        <w:tc>
          <w:tcPr>
            <w:tcW w:type="dxa" w:w="3360"/>
          </w:tcPr>
          <w:p>
            <w:r>
              <w:t>4</w:t>
            </w:r>
          </w:p>
        </w:tc>
        <w:tc>
          <w:tcPr>
            <w:tcW w:type="dxa" w:w="3360"/>
          </w:tcPr>
          <w:p>
            <w:r>
              <w:t>Anexo de tratamiento de datos (DPA)</w:t>
            </w:r>
          </w:p>
        </w:tc>
        <w:tc>
          <w:tcPr>
            <w:tcW w:type="dxa" w:w="3360"/>
          </w:tcPr>
          <w:p>
            <w:r>
              <w:t>Responsable/encargado, datos sensibles, instrucciones, subencargados, incidentes y devolución/supresión.</w:t>
            </w:r>
          </w:p>
        </w:tc>
      </w:tr>
      <w:tr>
        <w:tc>
          <w:tcPr>
            <w:tcW w:type="dxa" w:w="3360"/>
          </w:tcPr>
          <w:p>
            <w:r>
              <w:t>5</w:t>
            </w:r>
          </w:p>
        </w:tc>
        <w:tc>
          <w:tcPr>
            <w:tcW w:type="dxa" w:w="3360"/>
          </w:tcPr>
          <w:p>
            <w:r>
              <w:t>Ficha de seguridad</w:t>
            </w:r>
          </w:p>
        </w:tc>
        <w:tc>
          <w:tcPr>
            <w:tcW w:type="dxa" w:w="3360"/>
          </w:tcPr>
          <w:p>
            <w:r>
              <w:t>Cifrado, MFA, roles, auditoría, respaldos, RTO/RPO y ubicación.</w:t>
            </w:r>
          </w:p>
        </w:tc>
      </w:tr>
      <w:tr>
        <w:tc>
          <w:tcPr>
            <w:tcW w:type="dxa" w:w="3360"/>
          </w:tcPr>
          <w:p>
            <w:r>
              <w:t>6</w:t>
            </w:r>
          </w:p>
        </w:tc>
        <w:tc>
          <w:tcPr>
            <w:tcW w:type="dxa" w:w="3360"/>
          </w:tcPr>
          <w:p>
            <w:r>
              <w:t>Continuidad y recuperación</w:t>
            </w:r>
          </w:p>
        </w:tc>
        <w:tc>
          <w:tcPr>
            <w:tcW w:type="dxa" w:w="3360"/>
          </w:tcPr>
          <w:p>
            <w:r>
              <w:t>Respaldos, pruebas de restauración y recuperación ante desastres.</w:t>
            </w:r>
          </w:p>
        </w:tc>
      </w:tr>
      <w:tr>
        <w:tc>
          <w:tcPr>
            <w:tcW w:type="dxa" w:w="3360"/>
          </w:tcPr>
          <w:p>
            <w:r>
              <w:t>7</w:t>
            </w:r>
          </w:p>
        </w:tc>
        <w:tc>
          <w:tcPr>
            <w:tcW w:type="dxa" w:w="3360"/>
          </w:tcPr>
          <w:p>
            <w:r>
              <w:t>Respuesta a incidentes</w:t>
            </w:r>
          </w:p>
        </w:tc>
        <w:tc>
          <w:tcPr>
            <w:tcW w:type="dxa" w:w="3360"/>
          </w:tcPr>
          <w:p>
            <w:r>
              <w:t>Notificación, investigación, contención y responsables.</w:t>
            </w:r>
          </w:p>
        </w:tc>
      </w:tr>
      <w:tr>
        <w:tc>
          <w:tcPr>
            <w:tcW w:type="dxa" w:w="3360"/>
          </w:tcPr>
          <w:p>
            <w:r>
              <w:t>8</w:t>
            </w:r>
          </w:p>
        </w:tc>
        <w:tc>
          <w:tcPr>
            <w:tcW w:type="dxa" w:w="3360"/>
          </w:tcPr>
          <w:p>
            <w:r>
              <w:t>NDA</w:t>
            </w:r>
          </w:p>
        </w:tc>
        <w:tc>
          <w:tcPr>
            <w:tcW w:type="dxa" w:w="3360"/>
          </w:tcPr>
          <w:p>
            <w:r>
              <w:t>Protección de información confidencial.</w:t>
            </w:r>
          </w:p>
        </w:tc>
      </w:tr>
    </w:tbl>
    <w:p>
      <w:pPr>
        <w:pStyle w:val="Heading1"/>
      </w:pPr>
      <w:r>
        <w:t>5. Cláusula contractual propuesta: SLA</w:t>
      </w:r>
    </w:p>
    <w:p>
      <w:r>
        <w:t>“El proveedor mantendrá una disponibilidad mensual mínima del 99,9 % del servicio productivo, calculada conforme a la fórmula y exclusiones del SLA, que forma parte integral del contrato. Las solicitudes se atenderán según la tabla de severidad, respuesta y resolución incluida en este anexo. Si la disponibilidad atribuible al proveedor es inferior al objetivo, el cliente podrá solicitar un crédito sobre la tarifa mensual afectada, hasta un máximo del 10 % de dicha tarifa para ese mes. Las ventanas de mantenimiento y exclusiones serán únicamente las definidas en el SLA. Las obligaciones de protección de datos, confidencialidad y seguridad se rigen además por el contrato y el anexo de tratamiento de datos.”</w:t>
      </w:r>
    </w:p>
    <w:p>
      <w:pPr>
        <w:pStyle w:val="Heading1"/>
      </w:pPr>
      <w:r>
        <w:t>6. Resumen del anexo de seguridad y datos</w:t>
      </w:r>
    </w:p>
    <w:p>
      <w:pPr>
        <w:pStyle w:val="ListBullet"/>
      </w:pPr>
      <w:r>
        <w:t>La IPS documenta finalidades e instrucciones.</w:t>
      </w:r>
    </w:p>
    <w:p>
      <w:pPr>
        <w:pStyle w:val="ListBullet"/>
      </w:pPr>
      <w:r>
        <w:t>El proveedor trata datos solo para el servicio y limita el acceso al personal autorizado.</w:t>
      </w:r>
    </w:p>
    <w:p>
      <w:pPr>
        <w:pStyle w:val="ListBullet"/>
      </w:pPr>
      <w:r>
        <w:t>Se definen cifrado en tránsito y reposo, autenticación reforzada, permisos por rol y auditoría.</w:t>
      </w:r>
    </w:p>
    <w:p>
      <w:pPr>
        <w:pStyle w:val="ListBullet"/>
      </w:pPr>
      <w:r>
        <w:t>Se identifican ubicación de datos y subencargados, así como el procedimiento para cambios.</w:t>
      </w:r>
    </w:p>
    <w:p>
      <w:pPr>
        <w:pStyle w:val="ListBullet"/>
      </w:pPr>
      <w:r>
        <w:t>Se acuerda notificación, investigación y contención de incidentes.</w:t>
      </w:r>
    </w:p>
    <w:p>
      <w:pPr>
        <w:pStyle w:val="ListBullet"/>
      </w:pPr>
      <w:r>
        <w:t>Al terminar, se acuerda exportación, devolución o supresión segura, respetando conservación legal de historias clínicas.</w:t>
      </w:r>
    </w:p>
    <w:p>
      <w:pPr>
        <w:pStyle w:val="Heading1"/>
      </w:pPr>
      <w:r>
        <w:t>7. Objeciones y respuestas</w:t>
      </w:r>
    </w:p>
    <w:p>
      <w:pPr>
        <w:pStyle w:val="ListBullet"/>
      </w:pPr>
      <w:r>
        <w:t>“Exigimos penalidades sin límite”: proponemos créditos proporcionales y topados, medibles y transparentes.</w:t>
      </w:r>
    </w:p>
    <w:p>
      <w:pPr>
        <w:pStyle w:val="ListBullet"/>
      </w:pPr>
      <w:r>
        <w:t>“Todo debe estar en Colombia”: confirmaremos la región disponible y la documentaremos antes de asumir el compromiso.</w:t>
      </w:r>
    </w:p>
    <w:p>
      <w:pPr>
        <w:pStyle w:val="ListBullet"/>
      </w:pPr>
      <w:r>
        <w:t>“El proveedor responde por todos los datos”: cada parte cumple sus obligaciones según su rol y la ley.</w:t>
      </w:r>
    </w:p>
    <w:p>
      <w:pPr>
        <w:pStyle w:val="ListBullet"/>
      </w:pPr>
      <w:r>
        <w:t>“99,9 % desde el primer día”: se formalizará como obligación medible después de validar arquitectura y dependencias.</w:t>
      </w:r>
    </w:p>
    <w:p>
      <w:pPr>
        <w:pStyle w:val="Heading1"/>
      </w:pPr>
      <w:r>
        <w:t>8. Anexo de cifras</w:t>
      </w:r>
    </w:p>
    <w:tbl>
      <w:tblPr>
        <w:tblStyle w:val="TableGrid"/>
        <w:tblW w:type="auto" w:w="0"/>
        <w:tblLook w:firstColumn="1" w:firstRow="1" w:lastColumn="0" w:lastRow="0" w:noHBand="0" w:noVBand="1" w:val="04A0"/>
      </w:tblPr>
      <w:tblGrid>
        <w:gridCol w:w="5040"/>
        <w:gridCol w:w="5040"/>
      </w:tblGrid>
      <w:tr>
        <w:tc>
          <w:tcPr>
            <w:tcW w:type="dxa" w:w="5040"/>
          </w:tcPr>
          <w:p>
            <w:r>
              <w:t>Variable</w:t>
            </w:r>
          </w:p>
        </w:tc>
        <w:tc>
          <w:tcPr>
            <w:tcW w:type="dxa" w:w="5040"/>
          </w:tcPr>
          <w:p>
            <w:r>
              <w:t>Propuesta</w:t>
            </w:r>
          </w:p>
        </w:tc>
      </w:tr>
      <w:tr>
        <w:tc>
          <w:tcPr>
            <w:tcW w:type="dxa" w:w="5040"/>
          </w:tcPr>
          <w:p>
            <w:r>
              <w:t>Disponibilidad</w:t>
            </w:r>
          </w:p>
        </w:tc>
        <w:tc>
          <w:tcPr>
            <w:tcW w:type="dxa" w:w="5040"/>
          </w:tcPr>
          <w:p>
            <w:r>
              <w:t>99,9 % mensual, sujeto a validación técnica y SLA firmado</w:t>
            </w:r>
          </w:p>
        </w:tc>
      </w:tr>
      <w:tr>
        <w:tc>
          <w:tcPr>
            <w:tcW w:type="dxa" w:w="5040"/>
          </w:tcPr>
          <w:p>
            <w:r>
              <w:t>Crédito máximo</w:t>
            </w:r>
          </w:p>
        </w:tc>
        <w:tc>
          <w:tcPr>
            <w:tcW w:type="dxa" w:w="5040"/>
          </w:tcPr>
          <w:p>
            <w:r>
              <w:t>10 % de tarifa mensual afectada</w:t>
            </w:r>
          </w:p>
        </w:tc>
      </w:tr>
      <w:tr>
        <w:tc>
          <w:tcPr>
            <w:tcW w:type="dxa" w:w="5040"/>
          </w:tcPr>
          <w:p>
            <w:r>
              <w:t>Crítica</w:t>
            </w:r>
          </w:p>
        </w:tc>
        <w:tc>
          <w:tcPr>
            <w:tcW w:type="dxa" w:w="5040"/>
          </w:tcPr>
          <w:p>
            <w:r>
              <w:t>Respuesta 1 hora 24×7; resolución objetivo 4 horas</w:t>
            </w:r>
          </w:p>
        </w:tc>
      </w:tr>
      <w:tr>
        <w:tc>
          <w:tcPr>
            <w:tcW w:type="dxa" w:w="5040"/>
          </w:tcPr>
          <w:p>
            <w:r>
              <w:t>Alta</w:t>
            </w:r>
          </w:p>
        </w:tc>
        <w:tc>
          <w:tcPr>
            <w:tcW w:type="dxa" w:w="5040"/>
          </w:tcPr>
          <w:p>
            <w:r>
              <w:t>Respuesta 4 horas hábiles; resolución objetivo 1 día hábil</w:t>
            </w:r>
          </w:p>
        </w:tc>
      </w:tr>
      <w:tr>
        <w:tc>
          <w:tcPr>
            <w:tcW w:type="dxa" w:w="5040"/>
          </w:tcPr>
          <w:p>
            <w:r>
              <w:t>Ubicación</w:t>
            </w:r>
          </w:p>
        </w:tc>
        <w:tc>
          <w:tcPr>
            <w:tcW w:type="dxa" w:w="5040"/>
          </w:tcPr>
          <w:p>
            <w:r>
              <w:t>Colombia si la región contratada lo garantiza</w:t>
            </w:r>
          </w:p>
        </w:tc>
      </w:tr>
      <w:tr>
        <w:tc>
          <w:tcPr>
            <w:tcW w:type="dxa" w:w="5040"/>
          </w:tcPr>
          <w:p>
            <w:r>
              <w:t>Datos de salud</w:t>
            </w:r>
          </w:p>
        </w:tc>
        <w:tc>
          <w:tcPr>
            <w:tcW w:type="dxa" w:w="5040"/>
          </w:tcPr>
          <w:p>
            <w:r>
              <w:t>Datos sensibles; DPA y controles de seguridad</w:t>
            </w:r>
          </w:p>
        </w:tc>
      </w:tr>
    </w:tbl>
    <w:p>
      <w:pPr>
        <w:pStyle w:val="Heading1"/>
      </w:pPr>
      <w:r>
        <w:t>9. Conclusión</w:t>
      </w:r>
    </w:p>
    <w:p>
      <w:r>
        <w:t>El SLA contiene fórmula y tabla completas; el compromiso de disponibilidad coincide con la cláusula. El anexo de datos aborda sensibilidad, roles y conservación de historias clínicas.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