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NEGOCIACIÓN DE SOFTWARE: ACTIVIDADES Y ENTREGABLES</w:t>
      </w:r>
    </w:p>
    <w:p>
      <w:pPr>
        <w:jc w:val="center"/>
      </w:pPr>
      <w:r>
        <w:rPr>
          <w:b/>
          <w:sz w:val="26"/>
        </w:rPr>
        <w:t>CASO 3. DESARROLLO A MEDIDA PARA EMPRESA PRIVADA</w:t>
      </w:r>
    </w:p>
    <w:p>
      <w:r>
        <w:t>Empresa ficticia: Soluciones Digitales Andinas S.A.S.</w:t>
      </w:r>
    </w:p>
    <w:p>
      <w:r>
        <w:t>Aprendiz: Mariana ____________________</w:t>
      </w:r>
    </w:p>
    <w:p>
      <w:r>
        <w:t>Programa: Análisis y Desarrollo de Software – SENA</w:t>
      </w:r>
    </w:p>
    <w:p>
      <w:r>
        <w:t>Fecha: ____________________</w:t>
      </w:r>
    </w:p>
    <w:p>
      <w:r>
        <w:t>Nota: Las cifras comerciales son supuestos ilustrativos para la actividad; deben validarse antes de usarse en un contrato real.</w:t>
      </w:r>
    </w:p>
    <w:p>
      <w:pPr>
        <w:pStyle w:val="Heading1"/>
      </w:pPr>
      <w:r>
        <w:t>1. Situación y descubrimiento</w:t>
      </w:r>
    </w:p>
    <w:p>
      <w:r>
        <w:t>Una empresa de logística pide una aplicación de seguimiento de flotas que “haga de todo”. Solo entrega una presentación de una página y exige precio cerrado en dos días. Se propone una fase de descubrimiento de dos semanas por COP $6.000.000, con entrevistas, priorización de requisitos, mapa de procesos, prototipo inicial, arquitectura preliminar, riesgos, estimación por fases y criterios de aceptación.</w:t>
      </w:r>
    </w:p>
    <w:p>
      <w:r>
        <w:t>Si el contrato de desarrollo se firma dentro de los 30 días siguientes a la entrega del descubrimiento, se reconocerá el 50 % de su valor pagado como crédito contra el primer hito de desarrollo. No constituye devolución en efectivo.</w:t>
      </w:r>
    </w:p>
    <w:p>
      <w:pPr>
        <w:pStyle w:val="Heading1"/>
      </w:pPr>
      <w:r>
        <w:t>2. Alcance inicial (SOW)</w:t>
      </w:r>
    </w:p>
    <w:tbl>
      <w:tblPr>
        <w:tblStyle w:val="TableGrid"/>
        <w:tblW w:type="auto" w:w="0"/>
        <w:tblLook w:firstColumn="1" w:firstRow="1" w:lastColumn="0" w:lastRow="0" w:noHBand="0" w:noVBand="1" w:val="04A0"/>
      </w:tblPr>
      <w:tblGrid>
        <w:gridCol w:w="5040"/>
        <w:gridCol w:w="5040"/>
      </w:tblGrid>
      <w:tr>
        <w:tc>
          <w:tcPr>
            <w:tcW w:type="dxa" w:w="5040"/>
          </w:tcPr>
          <w:p>
            <w:r>
              <w:t>Incluido en la primera versión</w:t>
            </w:r>
          </w:p>
        </w:tc>
        <w:tc>
          <w:tcPr>
            <w:tcW w:type="dxa" w:w="5040"/>
          </w:tcPr>
          <w:p>
            <w:r>
              <w:t>Excluido salvo cotización y aprobación</w:t>
            </w:r>
          </w:p>
        </w:tc>
      </w:tr>
      <w:tr>
        <w:tc>
          <w:tcPr>
            <w:tcW w:type="dxa" w:w="5040"/>
          </w:tcPr>
          <w:p>
            <w:r>
              <w:t>Inicio de sesión y roles básicos.</w:t>
            </w:r>
          </w:p>
        </w:tc>
        <w:tc>
          <w:tcPr>
            <w:tcW w:type="dxa" w:w="5040"/>
          </w:tcPr>
          <w:p>
            <w:r>
              <w:t>Compra o instalación de dispositivos GPS.</w:t>
            </w:r>
          </w:p>
        </w:tc>
      </w:tr>
      <w:tr>
        <w:tc>
          <w:tcPr>
            <w:tcW w:type="dxa" w:w="5040"/>
          </w:tcPr>
          <w:p>
            <w:r>
              <w:t>Registro de vehículos y conductores.</w:t>
            </w:r>
          </w:p>
        </w:tc>
        <w:tc>
          <w:tcPr>
            <w:tcW w:type="dxa" w:w="5040"/>
          </w:tcPr>
          <w:p>
            <w:r>
              <w:t>Integraciones de terceros no identificadas y aprobadas.</w:t>
            </w:r>
          </w:p>
        </w:tc>
      </w:tr>
      <w:tr>
        <w:tc>
          <w:tcPr>
            <w:tcW w:type="dxa" w:w="5040"/>
          </w:tcPr>
          <w:p>
            <w:r>
              <w:t>Ubicación si existe API compatible y acceso autorizado.</w:t>
            </w:r>
          </w:p>
        </w:tc>
        <w:tc>
          <w:tcPr>
            <w:tcW w:type="dxa" w:w="5040"/>
          </w:tcPr>
          <w:p>
            <w:r>
              <w:t>Cobertura garantizada en zonas sin conectividad.</w:t>
            </w:r>
          </w:p>
        </w:tc>
      </w:tr>
      <w:tr>
        <w:tc>
          <w:tcPr>
            <w:tcW w:type="dxa" w:w="5040"/>
          </w:tcPr>
          <w:p>
            <w:r>
              <w:t>Registro de recorridos y estado del vehículo.</w:t>
            </w:r>
          </w:p>
        </w:tc>
        <w:tc>
          <w:tcPr>
            <w:tcW w:type="dxa" w:w="5040"/>
          </w:tcPr>
          <w:p>
            <w:r>
              <w:t>Predicción avanzada con inteligencia artificial.</w:t>
            </w:r>
          </w:p>
        </w:tc>
      </w:tr>
      <w:tr>
        <w:tc>
          <w:tcPr>
            <w:tcW w:type="dxa" w:w="5040"/>
          </w:tcPr>
          <w:p>
            <w:r>
              <w:t>Panel y reportes acordados por escrito.</w:t>
            </w:r>
          </w:p>
        </w:tc>
        <w:tc>
          <w:tcPr>
            <w:tcW w:type="dxa" w:w="5040"/>
          </w:tcPr>
          <w:p>
            <w:r>
              <w:t>Módulos no incluidos en el SOW.</w:t>
            </w:r>
          </w:p>
        </w:tc>
      </w:tr>
      <w:tr>
        <w:tc>
          <w:tcPr>
            <w:tcW w:type="dxa" w:w="5040"/>
          </w:tcPr>
          <w:p>
            <w:r>
              <w:t>Pruebas funcionales, capacitación básica y despliegue acordado.</w:t>
            </w:r>
          </w:p>
        </w:tc>
        <w:tc>
          <w:tcPr>
            <w:tcW w:type="dxa" w:w="5040"/>
          </w:tcPr>
          <w:p>
            <w:r>
              <w:t>Migración masiva no evaluada, licencias de terceros y soporte 24/7.</w:t>
            </w:r>
          </w:p>
        </w:tc>
      </w:tr>
    </w:tbl>
    <w:p>
      <w:pPr>
        <w:pStyle w:val="Heading1"/>
      </w:pPr>
      <w:r>
        <w:t>3. Cronograma y pagos</w:t>
      </w:r>
    </w:p>
    <w:p>
      <w:r>
        <w:t>Los porcentajes se aplican al valor aprobado del desarrollo posterior al descubrimiento. El descubrimiento se factura por separado; si se cumplen las condiciones, el crédito del 50 % se descuenta del primer hito.</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Fase</w:t>
            </w:r>
          </w:p>
        </w:tc>
        <w:tc>
          <w:tcPr>
            <w:tcW w:type="dxa" w:w="2520"/>
          </w:tcPr>
          <w:p>
            <w:r>
              <w:t>Duración estimada</w:t>
            </w:r>
          </w:p>
        </w:tc>
        <w:tc>
          <w:tcPr>
            <w:tcW w:type="dxa" w:w="2520"/>
          </w:tcPr>
          <w:p>
            <w:r>
              <w:t>Pago</w:t>
            </w:r>
          </w:p>
        </w:tc>
        <w:tc>
          <w:tcPr>
            <w:tcW w:type="dxa" w:w="2520"/>
          </w:tcPr>
          <w:p>
            <w:r>
              <w:t>Condición/entregable</w:t>
            </w:r>
          </w:p>
        </w:tc>
      </w:tr>
      <w:tr>
        <w:tc>
          <w:tcPr>
            <w:tcW w:type="dxa" w:w="2520"/>
          </w:tcPr>
          <w:p>
            <w:r>
              <w:t>Descubrimiento</w:t>
            </w:r>
          </w:p>
        </w:tc>
        <w:tc>
          <w:tcPr>
            <w:tcW w:type="dxa" w:w="2520"/>
          </w:tcPr>
          <w:p>
            <w:r>
              <w:t>2 semanas</w:t>
            </w:r>
          </w:p>
        </w:tc>
        <w:tc>
          <w:tcPr>
            <w:tcW w:type="dxa" w:w="2520"/>
          </w:tcPr>
          <w:p>
            <w:r>
              <w:t>$6.000.000 por separado, pagados al inicio.</w:t>
            </w:r>
          </w:p>
        </w:tc>
        <w:tc>
          <w:tcPr>
            <w:tcW w:type="dxa" w:w="2520"/>
          </w:tcPr>
          <w:p>
            <w:r>
              <w:t>Requisitos, prototipo, riesgos y estimación.</w:t>
            </w:r>
          </w:p>
        </w:tc>
      </w:tr>
      <w:tr>
        <w:tc>
          <w:tcPr>
            <w:tcW w:type="dxa" w:w="2520"/>
          </w:tcPr>
          <w:p>
            <w:r>
              <w:t>Inicio y diseño</w:t>
            </w:r>
          </w:p>
        </w:tc>
        <w:tc>
          <w:tcPr>
            <w:tcW w:type="dxa" w:w="2520"/>
          </w:tcPr>
          <w:p>
            <w:r>
              <w:t>Según cronograma</w:t>
            </w:r>
          </w:p>
        </w:tc>
        <w:tc>
          <w:tcPr>
            <w:tcW w:type="dxa" w:w="2520"/>
          </w:tcPr>
          <w:p>
            <w:r>
              <w:t>30 % del valor del desarrollo.</w:t>
            </w:r>
          </w:p>
        </w:tc>
        <w:tc>
          <w:tcPr>
            <w:tcW w:type="dxa" w:w="2520"/>
          </w:tcPr>
          <w:p>
            <w:r>
              <w:t>Firma de contrato y acta de inicio; aquí se aplica el crédito si corresponde.</w:t>
            </w:r>
          </w:p>
        </w:tc>
      </w:tr>
      <w:tr>
        <w:tc>
          <w:tcPr>
            <w:tcW w:type="dxa" w:w="2520"/>
          </w:tcPr>
          <w:p>
            <w:r>
              <w:t>Diseño aprobado</w:t>
            </w:r>
          </w:p>
        </w:tc>
        <w:tc>
          <w:tcPr>
            <w:tcW w:type="dxa" w:w="2520"/>
          </w:tcPr>
          <w:p>
            <w:r>
              <w:t>Según cronograma</w:t>
            </w:r>
          </w:p>
        </w:tc>
        <w:tc>
          <w:tcPr>
            <w:tcW w:type="dxa" w:w="2520"/>
          </w:tcPr>
          <w:p>
            <w:r>
              <w:t>20 % del valor del desarrollo.</w:t>
            </w:r>
          </w:p>
        </w:tc>
        <w:tc>
          <w:tcPr>
            <w:tcW w:type="dxa" w:w="2520"/>
          </w:tcPr>
          <w:p>
            <w:r>
              <w:t>Aprobación del diseño y prototipo.</w:t>
            </w:r>
          </w:p>
        </w:tc>
      </w:tr>
      <w:tr>
        <w:tc>
          <w:tcPr>
            <w:tcW w:type="dxa" w:w="2520"/>
          </w:tcPr>
          <w:p>
            <w:r>
              <w:t>Versión funcional</w:t>
            </w:r>
          </w:p>
        </w:tc>
        <w:tc>
          <w:tcPr>
            <w:tcW w:type="dxa" w:w="2520"/>
          </w:tcPr>
          <w:p>
            <w:r>
              <w:t>Según cronograma</w:t>
            </w:r>
          </w:p>
        </w:tc>
        <w:tc>
          <w:tcPr>
            <w:tcW w:type="dxa" w:w="2520"/>
          </w:tcPr>
          <w:p>
            <w:r>
              <w:t>30 % del valor del desarrollo.</w:t>
            </w:r>
          </w:p>
        </w:tc>
        <w:tc>
          <w:tcPr>
            <w:tcW w:type="dxa" w:w="2520"/>
          </w:tcPr>
          <w:p>
            <w:r>
              <w:t>Módulos principales en pruebas y acta de pruebas.</w:t>
            </w:r>
          </w:p>
        </w:tc>
      </w:tr>
      <w:tr>
        <w:tc>
          <w:tcPr>
            <w:tcW w:type="dxa" w:w="2520"/>
          </w:tcPr>
          <w:p>
            <w:r>
              <w:t>Aceptación final</w:t>
            </w:r>
          </w:p>
        </w:tc>
        <w:tc>
          <w:tcPr>
            <w:tcW w:type="dxa" w:w="2520"/>
          </w:tcPr>
          <w:p>
            <w:r>
              <w:t>Según cronograma</w:t>
            </w:r>
          </w:p>
        </w:tc>
        <w:tc>
          <w:tcPr>
            <w:tcW w:type="dxa" w:w="2520"/>
          </w:tcPr>
          <w:p>
            <w:r>
              <w:t>20 % del valor del desarrollo.</w:t>
            </w:r>
          </w:p>
        </w:tc>
        <w:tc>
          <w:tcPr>
            <w:tcW w:type="dxa" w:w="2520"/>
          </w:tcPr>
          <w:p>
            <w:r>
              <w:t>Puesta en producción, capacitación y acta de recibo.</w:t>
            </w:r>
          </w:p>
        </w:tc>
      </w:tr>
    </w:tbl>
    <w:p>
      <w:pPr>
        <w:pStyle w:val="Heading1"/>
      </w:pPr>
      <w:r>
        <w:t>4. Plan de concesiones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Petición</w:t>
            </w:r>
          </w:p>
        </w:tc>
        <w:tc>
          <w:tcPr>
            <w:tcW w:type="dxa" w:w="2520"/>
          </w:tcPr>
          <w:p>
            <w:r>
              <w:t>Concesión posible</w:t>
            </w:r>
          </w:p>
        </w:tc>
        <w:tc>
          <w:tcPr>
            <w:tcW w:type="dxa" w:w="2520"/>
          </w:tcPr>
          <w:p>
            <w:r>
              <w:t>Qué se pide a cambio</w:t>
            </w:r>
          </w:p>
        </w:tc>
        <w:tc>
          <w:tcPr>
            <w:tcW w:type="dxa" w:w="2520"/>
          </w:tcPr>
          <w:p>
            <w:r>
              <w:t>Límite</w:t>
            </w:r>
          </w:p>
        </w:tc>
      </w:tr>
      <w:tr>
        <w:tc>
          <w:tcPr>
            <w:tcW w:type="dxa" w:w="2520"/>
          </w:tcPr>
          <w:p>
            <w:r>
              <w:t>Precio cerrado en dos días</w:t>
            </w:r>
          </w:p>
        </w:tc>
        <w:tc>
          <w:tcPr>
            <w:tcW w:type="dxa" w:w="2520"/>
          </w:tcPr>
          <w:p>
            <w:r>
              <w:t>Estimación preliminar; precio definitivo después del descubrimiento.</w:t>
            </w:r>
          </w:p>
        </w:tc>
        <w:tc>
          <w:tcPr>
            <w:tcW w:type="dxa" w:w="2520"/>
          </w:tcPr>
          <w:p>
            <w:r>
              <w:t>Aprobación y pago de descubrimiento.</w:t>
            </w:r>
          </w:p>
        </w:tc>
        <w:tc>
          <w:tcPr>
            <w:tcW w:type="dxa" w:w="2520"/>
          </w:tcPr>
          <w:p>
            <w:r>
              <w:t>No fijar precio definitivo con requisitos ambiguos.</w:t>
            </w:r>
          </w:p>
        </w:tc>
      </w:tr>
      <w:tr>
        <w:tc>
          <w:tcPr>
            <w:tcW w:type="dxa" w:w="2520"/>
          </w:tcPr>
          <w:p>
            <w:r>
              <w:t>Más funciones sin costo</w:t>
            </w:r>
          </w:p>
        </w:tc>
        <w:tc>
          <w:tcPr>
            <w:tcW w:type="dxa" w:w="2520"/>
          </w:tcPr>
          <w:p>
            <w:r>
              <w:t>Priorizar esenciales y mover otras a una fase posterior.</w:t>
            </w:r>
          </w:p>
        </w:tc>
        <w:tc>
          <w:tcPr>
            <w:tcW w:type="dxa" w:w="2520"/>
          </w:tcPr>
          <w:p>
            <w:r>
              <w:t>Aprobación escrita del SOW.</w:t>
            </w:r>
          </w:p>
        </w:tc>
        <w:tc>
          <w:tcPr>
            <w:tcW w:type="dxa" w:w="2520"/>
          </w:tcPr>
          <w:p>
            <w:r>
              <w:t>No ampliar alcance sin ajustar precio/plazo.</w:t>
            </w:r>
          </w:p>
        </w:tc>
      </w:tr>
      <w:tr>
        <w:tc>
          <w:tcPr>
            <w:tcW w:type="dxa" w:w="2520"/>
          </w:tcPr>
          <w:p>
            <w:r>
              <w:t>Entrega rápida</w:t>
            </w:r>
          </w:p>
        </w:tc>
        <w:tc>
          <w:tcPr>
            <w:tcW w:type="dxa" w:w="2520"/>
          </w:tcPr>
          <w:p>
            <w:r>
              <w:t>Desarrollo por versiones.</w:t>
            </w:r>
          </w:p>
        </w:tc>
        <w:tc>
          <w:tcPr>
            <w:tcW w:type="dxa" w:w="2520"/>
          </w:tcPr>
          <w:p>
            <w:r>
              <w:t>Accesos, datos y respuestas oportunas del cliente.</w:t>
            </w:r>
          </w:p>
        </w:tc>
        <w:tc>
          <w:tcPr>
            <w:tcW w:type="dxa" w:w="2520"/>
          </w:tcPr>
          <w:p>
            <w:r>
              <w:t>Los retrasos del cliente pueden ajustar el cronograma.</w:t>
            </w:r>
          </w:p>
        </w:tc>
      </w:tr>
      <w:tr>
        <w:tc>
          <w:tcPr>
            <w:tcW w:type="dxa" w:w="2520"/>
          </w:tcPr>
          <w:p>
            <w:r>
              <w:t>Capacitación adicional</w:t>
            </w:r>
          </w:p>
        </w:tc>
        <w:tc>
          <w:tcPr>
            <w:tcW w:type="dxa" w:w="2520"/>
          </w:tcPr>
          <w:p>
            <w:r>
              <w:t>Una sesión remota extra.</w:t>
            </w:r>
          </w:p>
        </w:tc>
        <w:tc>
          <w:tcPr>
            <w:tcW w:type="dxa" w:w="2520"/>
          </w:tcPr>
          <w:p>
            <w:r>
              <w:t>Aprobación oportuna de entregables.</w:t>
            </w:r>
          </w:p>
        </w:tc>
        <w:tc>
          <w:tcPr>
            <w:tcW w:type="dxa" w:w="2520"/>
          </w:tcPr>
          <w:p>
            <w:r>
              <w:t>Sesiones adicionales se cotizan.</w:t>
            </w:r>
          </w:p>
        </w:tc>
      </w:tr>
    </w:tbl>
    <w:p>
      <w:pPr>
        <w:pStyle w:val="Heading1"/>
      </w:pPr>
      <w:r>
        <w:t>5. Documentos priorizados</w:t>
      </w:r>
    </w:p>
    <w:tbl>
      <w:tblPr>
        <w:tblStyle w:val="TableGrid"/>
        <w:tblW w:type="auto" w:w="0"/>
        <w:tblLook w:firstColumn="1" w:firstRow="1" w:lastColumn="0" w:lastRow="0" w:noHBand="0" w:noVBand="1" w:val="04A0"/>
      </w:tblPr>
      <w:tblGrid>
        <w:gridCol w:w="3360"/>
        <w:gridCol w:w="3360"/>
        <w:gridCol w:w="3360"/>
      </w:tblGrid>
      <w:tr>
        <w:tc>
          <w:tcPr>
            <w:tcW w:type="dxa" w:w="3360"/>
          </w:tcPr>
          <w:p>
            <w:r>
              <w:t>Prioridad</w:t>
            </w:r>
          </w:p>
        </w:tc>
        <w:tc>
          <w:tcPr>
            <w:tcW w:type="dxa" w:w="3360"/>
          </w:tcPr>
          <w:p>
            <w:r>
              <w:t>Documento</w:t>
            </w:r>
          </w:p>
        </w:tc>
        <w:tc>
          <w:tcPr>
            <w:tcW w:type="dxa" w:w="3360"/>
          </w:tcPr>
          <w:p>
            <w:r>
              <w:t>Contenido</w:t>
            </w:r>
          </w:p>
        </w:tc>
      </w:tr>
      <w:tr>
        <w:tc>
          <w:tcPr>
            <w:tcW w:type="dxa" w:w="3360"/>
          </w:tcPr>
          <w:p>
            <w:r>
              <w:t>1</w:t>
            </w:r>
          </w:p>
        </w:tc>
        <w:tc>
          <w:tcPr>
            <w:tcW w:type="dxa" w:w="3360"/>
          </w:tcPr>
          <w:p>
            <w:r>
              <w:t>Propuesta de descubrimiento</w:t>
            </w:r>
          </w:p>
        </w:tc>
        <w:tc>
          <w:tcPr>
            <w:tcW w:type="dxa" w:w="3360"/>
          </w:tcPr>
          <w:p>
            <w:r>
              <w:t>Objetivo, actividades, duración, precio, entregables y responsabilidades.</w:t>
            </w:r>
          </w:p>
        </w:tc>
      </w:tr>
      <w:tr>
        <w:tc>
          <w:tcPr>
            <w:tcW w:type="dxa" w:w="3360"/>
          </w:tcPr>
          <w:p>
            <w:r>
              <w:t>2</w:t>
            </w:r>
          </w:p>
        </w:tc>
        <w:tc>
          <w:tcPr>
            <w:tcW w:type="dxa" w:w="3360"/>
          </w:tcPr>
          <w:p>
            <w:r>
              <w:t>SOW/alcance</w:t>
            </w:r>
          </w:p>
        </w:tc>
        <w:tc>
          <w:tcPr>
            <w:tcW w:type="dxa" w:w="3360"/>
          </w:tcPr>
          <w:p>
            <w:r>
              <w:t>Incluidos, excluidos, dependencias, entregables y aceptación.</w:t>
            </w:r>
          </w:p>
        </w:tc>
      </w:tr>
      <w:tr>
        <w:tc>
          <w:tcPr>
            <w:tcW w:type="dxa" w:w="3360"/>
          </w:tcPr>
          <w:p>
            <w:r>
              <w:t>3</w:t>
            </w:r>
          </w:p>
        </w:tc>
        <w:tc>
          <w:tcPr>
            <w:tcW w:type="dxa" w:w="3360"/>
          </w:tcPr>
          <w:p>
            <w:r>
              <w:t>Requisitos priorizados</w:t>
            </w:r>
          </w:p>
        </w:tc>
        <w:tc>
          <w:tcPr>
            <w:tcW w:type="dxa" w:w="3360"/>
          </w:tcPr>
          <w:p>
            <w:r>
              <w:t>Requisitos funcionales/no funcionales y reglas de negocio.</w:t>
            </w:r>
          </w:p>
        </w:tc>
      </w:tr>
      <w:tr>
        <w:tc>
          <w:tcPr>
            <w:tcW w:type="dxa" w:w="3360"/>
          </w:tcPr>
          <w:p>
            <w:r>
              <w:t>4</w:t>
            </w:r>
          </w:p>
        </w:tc>
        <w:tc>
          <w:tcPr>
            <w:tcW w:type="dxa" w:w="3360"/>
          </w:tcPr>
          <w:p>
            <w:r>
              <w:t>Cronograma y pagos</w:t>
            </w:r>
          </w:p>
        </w:tc>
        <w:tc>
          <w:tcPr>
            <w:tcW w:type="dxa" w:w="3360"/>
          </w:tcPr>
          <w:p>
            <w:r>
              <w:t>Fases, hitos, porcentajes, responsables y fechas.</w:t>
            </w:r>
          </w:p>
        </w:tc>
      </w:tr>
      <w:tr>
        <w:tc>
          <w:tcPr>
            <w:tcW w:type="dxa" w:w="3360"/>
          </w:tcPr>
          <w:p>
            <w:r>
              <w:t>5</w:t>
            </w:r>
          </w:p>
        </w:tc>
        <w:tc>
          <w:tcPr>
            <w:tcW w:type="dxa" w:w="3360"/>
          </w:tcPr>
          <w:p>
            <w:r>
              <w:t>Contrato de desarrollo</w:t>
            </w:r>
          </w:p>
        </w:tc>
        <w:tc>
          <w:tcPr>
            <w:tcW w:type="dxa" w:w="3360"/>
          </w:tcPr>
          <w:p>
            <w:r>
              <w:t>Precio, propiedad intelectual, garantía, confidencialidad, responsabilidad y terminación.</w:t>
            </w:r>
          </w:p>
        </w:tc>
      </w:tr>
      <w:tr>
        <w:tc>
          <w:tcPr>
            <w:tcW w:type="dxa" w:w="3360"/>
          </w:tcPr>
          <w:p>
            <w:r>
              <w:t>6</w:t>
            </w:r>
          </w:p>
        </w:tc>
        <w:tc>
          <w:tcPr>
            <w:tcW w:type="dxa" w:w="3360"/>
          </w:tcPr>
          <w:p>
            <w:r>
              <w:t>Control de cambios</w:t>
            </w:r>
          </w:p>
        </w:tc>
        <w:tc>
          <w:tcPr>
            <w:tcW w:type="dxa" w:w="3360"/>
          </w:tcPr>
          <w:p>
            <w:r>
              <w:t>Solicitud, análisis de impacto, aprobación y otrosí.</w:t>
            </w:r>
          </w:p>
        </w:tc>
      </w:tr>
      <w:tr>
        <w:tc>
          <w:tcPr>
            <w:tcW w:type="dxa" w:w="3360"/>
          </w:tcPr>
          <w:p>
            <w:r>
              <w:t>7</w:t>
            </w:r>
          </w:p>
        </w:tc>
        <w:tc>
          <w:tcPr>
            <w:tcW w:type="dxa" w:w="3360"/>
          </w:tcPr>
          <w:p>
            <w:r>
              <w:t>Ficha técnica y seguridad</w:t>
            </w:r>
          </w:p>
        </w:tc>
        <w:tc>
          <w:tcPr>
            <w:tcW w:type="dxa" w:w="3360"/>
          </w:tcPr>
          <w:p>
            <w:r>
              <w:t>Accesos, datos, infraestructura y respaldos.</w:t>
            </w:r>
          </w:p>
        </w:tc>
      </w:tr>
      <w:tr>
        <w:tc>
          <w:tcPr>
            <w:tcW w:type="dxa" w:w="3360"/>
          </w:tcPr>
          <w:p>
            <w:r>
              <w:t>8</w:t>
            </w:r>
          </w:p>
        </w:tc>
        <w:tc>
          <w:tcPr>
            <w:tcW w:type="dxa" w:w="3360"/>
          </w:tcPr>
          <w:p>
            <w:r>
              <w:t>Plan de pruebas y aceptación</w:t>
            </w:r>
          </w:p>
        </w:tc>
        <w:tc>
          <w:tcPr>
            <w:tcW w:type="dxa" w:w="3360"/>
          </w:tcPr>
          <w:p>
            <w:r>
              <w:t>Pruebas, defectos, criterios y acta de entrega.</w:t>
            </w:r>
          </w:p>
        </w:tc>
      </w:tr>
      <w:tr>
        <w:tc>
          <w:tcPr>
            <w:tcW w:type="dxa" w:w="3360"/>
          </w:tcPr>
          <w:p>
            <w:r>
              <w:t>9</w:t>
            </w:r>
          </w:p>
        </w:tc>
        <w:tc>
          <w:tcPr>
            <w:tcW w:type="dxa" w:w="3360"/>
          </w:tcPr>
          <w:p>
            <w:r>
              <w:t>NDA</w:t>
            </w:r>
          </w:p>
        </w:tc>
        <w:tc>
          <w:tcPr>
            <w:tcW w:type="dxa" w:w="3360"/>
          </w:tcPr>
          <w:p>
            <w:r>
              <w:t>Protección de información y procesos.</w:t>
            </w:r>
          </w:p>
        </w:tc>
      </w:tr>
    </w:tbl>
    <w:p>
      <w:pPr>
        <w:pStyle w:val="Heading1"/>
      </w:pPr>
      <w:r>
        <w:t>6. Cláusula de control de cambios</w:t>
      </w:r>
    </w:p>
    <w:p>
      <w:r>
        <w:t>“Toda solicitud que modifique funcionalidades, integraciones, entregables, criterios de aceptación o fechas deberá presentarse por escrito. El proveedor responderá en un plazo máximo de cinco (5) días hábiles, indicando el impacto estimado en alcance, precio, recursos y cronograma, o solicitando información faltante. Ningún cambio se ejecutará hasta ser aprobado por escrito por ambas partes mediante otrosí o documento de cambio firmado por representantes autorizados. Los trabajos adicionales se facturarán según la cotización aprobada y podrán modificar las fechas de entrega.”</w:t>
      </w:r>
    </w:p>
    <w:p>
      <w:pPr>
        <w:pStyle w:val="Heading1"/>
      </w:pPr>
      <w:r>
        <w:t>7. Cláusula de propiedad intelectual</w:t>
      </w:r>
    </w:p>
    <w:p>
      <w:r>
        <w:t>“Una vez pagados los valores correspondientes, el cliente recibirá los derechos de uso sobre los entregables específicamente desarrollados para el proyecto en los términos del contrato. Los componentes, bibliotecas, herramientas, plantillas, metodologías y conocimientos preexistentes o de uso general permanecerán como propiedad del proveedor. Los componentes de terceros se regirán por sus licencias. Cualquier cesión de derechos patrimoniales deberá identificarse expresamente, limitarse a los entregables acordados y constar por escrito.”</w:t>
      </w:r>
    </w:p>
    <w:p>
      <w:pPr>
        <w:pStyle w:val="Heading1"/>
      </w:pPr>
      <w:r>
        <w:t>8. Cláusula de garantía</w:t>
      </w:r>
    </w:p>
    <w:p>
      <w:r>
        <w:t>“El proveedor ofrece garantía de noventa (90) días calendario desde el acta de aceptación final para corregir sin costo defectos reproducibles que impidan que los entregables funcionen conforme a requisitos y criterios de aceptación aprobados. No cubre cambios de alcance, uso contrario a la documentación, modificaciones de terceros, fallas de servicios de terceros ni infraestructura no administrada por el proveedor. Las solicitudes se registrarán por el canal de soporte acordado.”</w:t>
      </w:r>
    </w:p>
    <w:p>
      <w:pPr>
        <w:pStyle w:val="Heading1"/>
      </w:pPr>
      <w:r>
        <w:t>9. Objeciones y respuestas</w:t>
      </w:r>
    </w:p>
    <w:p>
      <w:pPr>
        <w:pStyle w:val="ListBullet"/>
      </w:pPr>
      <w:r>
        <w:t>“Debe incluir todo”: documentaremos funciones prioritarias y exclusiones en el SOW.</w:t>
      </w:r>
    </w:p>
    <w:p>
      <w:pPr>
        <w:pStyle w:val="ListBullet"/>
      </w:pPr>
      <w:r>
        <w:t>“No pagaremos por analizar”: el descubrimiento reduce incertidumbre y permite estimar con sustento; 50 % se acredita al desarrollo si se firma en 30 días.</w:t>
      </w:r>
    </w:p>
    <w:p>
      <w:pPr>
        <w:pStyle w:val="ListBullet"/>
      </w:pPr>
      <w:r>
        <w:t>“El precio no puede cambiar”: el precio del alcance aprobado se mantiene; nuevos requerimientos necesitan evaluación y aprobación por otrosí/documento de cambio.</w:t>
      </w:r>
    </w:p>
    <w:p>
      <w:pPr>
        <w:pStyle w:val="ListBullet"/>
      </w:pPr>
      <w:r>
        <w:t>“Queremos todo el código”: se pueden negociar entregables específicos, distinguiendo componentes preexistentes y licencias de terceros.</w:t>
      </w:r>
    </w:p>
    <w:p>
      <w:pPr>
        <w:pStyle w:val="Heading1"/>
      </w:pPr>
      <w:r>
        <w:t>10. Anexo de cifras</w:t>
      </w:r>
    </w:p>
    <w:tbl>
      <w:tblPr>
        <w:tblStyle w:val="TableGrid"/>
        <w:tblW w:type="auto" w:w="0"/>
        <w:tblLook w:firstColumn="1" w:firstRow="1" w:lastColumn="0" w:lastRow="0" w:noHBand="0" w:noVBand="1" w:val="04A0"/>
      </w:tblPr>
      <w:tblGrid>
        <w:gridCol w:w="5040"/>
        <w:gridCol w:w="5040"/>
      </w:tblGrid>
      <w:tr>
        <w:tc>
          <w:tcPr>
            <w:tcW w:type="dxa" w:w="5040"/>
          </w:tcPr>
          <w:p>
            <w:r>
              <w:t>Variable</w:t>
            </w:r>
          </w:p>
        </w:tc>
        <w:tc>
          <w:tcPr>
            <w:tcW w:type="dxa" w:w="5040"/>
          </w:tcPr>
          <w:p>
            <w:r>
              <w:t>Propuesta</w:t>
            </w:r>
          </w:p>
        </w:tc>
      </w:tr>
      <w:tr>
        <w:tc>
          <w:tcPr>
            <w:tcW w:type="dxa" w:w="5040"/>
          </w:tcPr>
          <w:p>
            <w:r>
              <w:t>Descubrimiento</w:t>
            </w:r>
          </w:p>
        </w:tc>
        <w:tc>
          <w:tcPr>
            <w:tcW w:type="dxa" w:w="5040"/>
          </w:tcPr>
          <w:p>
            <w:r>
              <w:t>$6.000.000; 2 semanas</w:t>
            </w:r>
          </w:p>
        </w:tc>
      </w:tr>
      <w:tr>
        <w:tc>
          <w:tcPr>
            <w:tcW w:type="dxa" w:w="5040"/>
          </w:tcPr>
          <w:p>
            <w:r>
              <w:t>Crédito</w:t>
            </w:r>
          </w:p>
        </w:tc>
        <w:tc>
          <w:tcPr>
            <w:tcW w:type="dxa" w:w="5040"/>
          </w:tcPr>
          <w:p>
            <w:r>
              <w:t>50 % si se firma el desarrollo en 30 días; descuento al primer hito</w:t>
            </w:r>
          </w:p>
        </w:tc>
      </w:tr>
      <w:tr>
        <w:tc>
          <w:tcPr>
            <w:tcW w:type="dxa" w:w="5040"/>
          </w:tcPr>
          <w:p>
            <w:r>
              <w:t>Anticipo desarrollo</w:t>
            </w:r>
          </w:p>
        </w:tc>
        <w:tc>
          <w:tcPr>
            <w:tcW w:type="dxa" w:w="5040"/>
          </w:tcPr>
          <w:p>
            <w:r>
              <w:t>30 % del valor del desarrollo</w:t>
            </w:r>
          </w:p>
        </w:tc>
      </w:tr>
      <w:tr>
        <w:tc>
          <w:tcPr>
            <w:tcW w:type="dxa" w:w="5040"/>
          </w:tcPr>
          <w:p>
            <w:r>
              <w:t>Diseño</w:t>
            </w:r>
          </w:p>
        </w:tc>
        <w:tc>
          <w:tcPr>
            <w:tcW w:type="dxa" w:w="5040"/>
          </w:tcPr>
          <w:p>
            <w:r>
              <w:t>20 % del valor del desarrollo</w:t>
            </w:r>
          </w:p>
        </w:tc>
      </w:tr>
      <w:tr>
        <w:tc>
          <w:tcPr>
            <w:tcW w:type="dxa" w:w="5040"/>
          </w:tcPr>
          <w:p>
            <w:r>
              <w:t>Versión funcional</w:t>
            </w:r>
          </w:p>
        </w:tc>
        <w:tc>
          <w:tcPr>
            <w:tcW w:type="dxa" w:w="5040"/>
          </w:tcPr>
          <w:p>
            <w:r>
              <w:t>30 % del valor del desarrollo</w:t>
            </w:r>
          </w:p>
        </w:tc>
      </w:tr>
      <w:tr>
        <w:tc>
          <w:tcPr>
            <w:tcW w:type="dxa" w:w="5040"/>
          </w:tcPr>
          <w:p>
            <w:r>
              <w:t>Aceptación final</w:t>
            </w:r>
          </w:p>
        </w:tc>
        <w:tc>
          <w:tcPr>
            <w:tcW w:type="dxa" w:w="5040"/>
          </w:tcPr>
          <w:p>
            <w:r>
              <w:t>20 % del valor del desarrollo</w:t>
            </w:r>
          </w:p>
        </w:tc>
      </w:tr>
      <w:tr>
        <w:tc>
          <w:tcPr>
            <w:tcW w:type="dxa" w:w="5040"/>
          </w:tcPr>
          <w:p>
            <w:r>
              <w:t>Respuesta a cambios</w:t>
            </w:r>
          </w:p>
        </w:tc>
        <w:tc>
          <w:tcPr>
            <w:tcW w:type="dxa" w:w="5040"/>
          </w:tcPr>
          <w:p>
            <w:r>
              <w:t>Máximo 5 días hábiles</w:t>
            </w:r>
          </w:p>
        </w:tc>
      </w:tr>
      <w:tr>
        <w:tc>
          <w:tcPr>
            <w:tcW w:type="dxa" w:w="5040"/>
          </w:tcPr>
          <w:p>
            <w:r>
              <w:t>Garantía</w:t>
            </w:r>
          </w:p>
        </w:tc>
        <w:tc>
          <w:tcPr>
            <w:tcW w:type="dxa" w:w="5040"/>
          </w:tcPr>
          <w:p>
            <w:r>
              <w:t>90 días calendario desde aceptación</w:t>
            </w:r>
          </w:p>
        </w:tc>
      </w:tr>
    </w:tbl>
    <w:p>
      <w:pPr>
        <w:pStyle w:val="Heading1"/>
      </w:pPr>
      <w:r>
        <w:t>11. Conclusión</w:t>
      </w:r>
    </w:p>
    <w:p>
      <w:r>
        <w:t>El descubrimiento transforma una solicitud ambigua en requisitos verificables. El SOW, los pagos por hitos, la garantía y el control de cambios reducen riesgos para ambas partes.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