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NEGOCIACIÓN DE SOFTWARE: ACTIVIDADES Y ENTREGABLES</w:t>
      </w:r>
    </w:p>
    <w:p>
      <w:pPr>
        <w:jc w:val="center"/>
      </w:pPr>
      <w:r>
        <w:rPr>
          <w:b/>
          <w:sz w:val="26"/>
        </w:rPr>
        <w:t>CASO 4. DESARROLLO A MEDIDA PARA ENTIDAD PÚBLICA</w:t>
      </w:r>
    </w:p>
    <w:p>
      <w:r>
        <w:t>Empresa ficticia: Soluciones Digitales Andinas S.A.S.</w:t>
      </w:r>
    </w:p>
    <w:p>
      <w:r>
        <w:t>Aprendiz: Mariana ____________________</w:t>
      </w:r>
    </w:p>
    <w:p>
      <w:r>
        <w:t>Programa: Análisis y Desarrollo de Software – SENA</w:t>
      </w:r>
    </w:p>
    <w:p>
      <w:r>
        <w:t>Fecha: ____________________</w:t>
      </w:r>
    </w:p>
    <w:p>
      <w:r>
        <w:t>Nota: Las cifras comerciales son supuestos ilustrativos para la actividad; deben validarse antes de usarse en un contrato real.</w:t>
      </w:r>
    </w:p>
    <w:p>
      <w:pPr>
        <w:pStyle w:val="Heading1"/>
      </w:pPr>
      <w:r>
        <w:t>1. Situación</w:t>
      </w:r>
    </w:p>
    <w:p>
      <w:r>
        <w:t>Una alcaldía publica un proceso para un sistema de gestión de trámites. Los estudios previos son ambiguos y el proyecto de pliego exige cesión total de derechos patrimoniales. La empresa debe actuar por los canales oficiales, pedir aclaraciones y calcular una oferta que incluya los costos exigidos.</w:t>
      </w:r>
    </w:p>
    <w:p>
      <w:pPr>
        <w:pStyle w:val="Heading1"/>
      </w:pPr>
      <w:r>
        <w:t>2. Verificación del proceso</w:t>
      </w:r>
    </w:p>
    <w:p>
      <w:pPr>
        <w:pStyle w:val="ListBullet"/>
      </w:pPr>
      <w:r>
        <w:t>Identificar modalidad de selección y consultar el cronograma oficial; plazos y canales de observaciones dependen del proceso concreto.</w:t>
      </w:r>
    </w:p>
    <w:p>
      <w:pPr>
        <w:pStyle w:val="ListBullet"/>
      </w:pPr>
      <w:r>
        <w:t>Revisar estudios previos, proyecto/pliego definitivo, anexos técnicos, minuta, adendas y respuestas oficiales.</w:t>
      </w:r>
    </w:p>
    <w:p>
      <w:pPr>
        <w:pStyle w:val="ListBullet"/>
      </w:pPr>
      <w:r>
        <w:t>Confirmar requisitos habilitantes y plataforma de presentación; no asumir requisitos o plazos sin verificar el pliego.</w:t>
      </w:r>
    </w:p>
    <w:p>
      <w:pPr>
        <w:pStyle w:val="Heading1"/>
      </w:pPr>
      <w:r>
        <w:t>3. Observaciones al proyecto de pliego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Tema</w:t>
            </w:r>
          </w:p>
        </w:tc>
        <w:tc>
          <w:tcPr>
            <w:tcW w:type="dxa" w:w="3360"/>
          </w:tcPr>
          <w:p>
            <w:r>
              <w:t>Observación/pregunta</w:t>
            </w:r>
          </w:p>
        </w:tc>
        <w:tc>
          <w:tcPr>
            <w:tcW w:type="dxa" w:w="3360"/>
          </w:tcPr>
          <w:p>
            <w:r>
              <w:t>Objetivo</w:t>
            </w:r>
          </w:p>
        </w:tc>
      </w:tr>
      <w:tr>
        <w:tc>
          <w:tcPr>
            <w:tcW w:type="dxa" w:w="3360"/>
          </w:tcPr>
          <w:p>
            <w:r>
              <w:t>Alcance funcional</w:t>
            </w:r>
          </w:p>
        </w:tc>
        <w:tc>
          <w:tcPr>
            <w:tcW w:type="dxa" w:w="3360"/>
          </w:tcPr>
          <w:p>
            <w:r>
              <w:t>Precisar trámites, perfiles, flujos, reglas, integraciones, volúmenes y reportes.</w:t>
            </w:r>
          </w:p>
        </w:tc>
        <w:tc>
          <w:tcPr>
            <w:tcW w:type="dxa" w:w="3360"/>
          </w:tcPr>
          <w:p>
            <w:r>
              <w:t>Evitar requisitos ambiguos.</w:t>
            </w:r>
          </w:p>
        </w:tc>
      </w:tr>
      <w:tr>
        <w:tc>
          <w:tcPr>
            <w:tcW w:type="dxa" w:w="3360"/>
          </w:tcPr>
          <w:p>
            <w:r>
              <w:t>Aceptación</w:t>
            </w:r>
          </w:p>
        </w:tc>
        <w:tc>
          <w:tcPr>
            <w:tcW w:type="dxa" w:w="3360"/>
          </w:tcPr>
          <w:p>
            <w:r>
              <w:t>Publicar criterios verificables, pruebas, responsables y plazo de revisión.</w:t>
            </w:r>
          </w:p>
        </w:tc>
        <w:tc>
          <w:tcPr>
            <w:tcW w:type="dxa" w:w="3360"/>
          </w:tcPr>
          <w:p>
            <w:r>
              <w:t>Definir cuándo se recibe el sistema.</w:t>
            </w:r>
          </w:p>
        </w:tc>
      </w:tr>
      <w:tr>
        <w:tc>
          <w:tcPr>
            <w:tcW w:type="dxa" w:w="3360"/>
          </w:tcPr>
          <w:p>
            <w:r>
              <w:t>Propiedad intelectual</w:t>
            </w:r>
          </w:p>
        </w:tc>
        <w:tc>
          <w:tcPr>
            <w:tcW w:type="dxa" w:w="3360"/>
          </w:tcPr>
          <w:p>
            <w:r>
              <w:t>Aclarar si la cesión comprende componentes preexistentes o solo entregables nuevos.</w:t>
            </w:r>
          </w:p>
        </w:tc>
        <w:tc>
          <w:tcPr>
            <w:tcW w:type="dxa" w:w="3360"/>
          </w:tcPr>
          <w:p>
            <w:r>
              <w:t>Distinguir desarrollo nuevo y activos previos.</w:t>
            </w:r>
          </w:p>
        </w:tc>
      </w:tr>
      <w:tr>
        <w:tc>
          <w:tcPr>
            <w:tcW w:type="dxa" w:w="3360"/>
          </w:tcPr>
          <w:p>
            <w:r>
              <w:t>Terceros</w:t>
            </w:r>
          </w:p>
        </w:tc>
        <w:tc>
          <w:tcPr>
            <w:tcW w:type="dxa" w:w="3360"/>
          </w:tcPr>
          <w:p>
            <w:r>
              <w:t>Confirmar que componentes de terceros se entregan bajo sus licencias y no se exige ceder derechos ajenos.</w:t>
            </w:r>
          </w:p>
        </w:tc>
        <w:tc>
          <w:tcPr>
            <w:tcW w:type="dxa" w:w="3360"/>
          </w:tcPr>
          <w:p>
            <w:r>
              <w:t>Respetar licencias.</w:t>
            </w:r>
          </w:p>
        </w:tc>
      </w:tr>
      <w:tr>
        <w:tc>
          <w:tcPr>
            <w:tcW w:type="dxa" w:w="3360"/>
          </w:tcPr>
          <w:p>
            <w:r>
              <w:t>Continuidad</w:t>
            </w:r>
          </w:p>
        </w:tc>
        <w:tc>
          <w:tcPr>
            <w:tcW w:type="dxa" w:w="3360"/>
          </w:tcPr>
          <w:p>
            <w:r>
              <w:t>Solicitar licencia suficiente sobre componentes preexistentes y evaluar escrow.</w:t>
            </w:r>
          </w:p>
        </w:tc>
        <w:tc>
          <w:tcPr>
            <w:tcW w:type="dxa" w:w="3360"/>
          </w:tcPr>
          <w:p>
            <w:r>
              <w:t>Facilitar operación y mantenimiento.</w:t>
            </w:r>
          </w:p>
        </w:tc>
      </w:tr>
      <w:tr>
        <w:tc>
          <w:tcPr>
            <w:tcW w:type="dxa" w:w="3360"/>
          </w:tcPr>
          <w:p>
            <w:r>
              <w:t>Presupuesto</w:t>
            </w:r>
          </w:p>
        </w:tc>
        <w:tc>
          <w:tcPr>
            <w:tcW w:type="dxa" w:w="3360"/>
          </w:tcPr>
          <w:p>
            <w:r>
              <w:t>Aclarar si contempla cesión, documentación, capacitación, mantenimiento y garantías.</w:t>
            </w:r>
          </w:p>
        </w:tc>
        <w:tc>
          <w:tcPr>
            <w:tcW w:type="dxa" w:w="3360"/>
          </w:tcPr>
          <w:p>
            <w:r>
              <w:t>Calcular oferta completa.</w:t>
            </w:r>
          </w:p>
        </w:tc>
      </w:tr>
      <w:tr>
        <w:tc>
          <w:tcPr>
            <w:tcW w:type="dxa" w:w="3360"/>
          </w:tcPr>
          <w:p>
            <w:r>
              <w:t>Anticipo y pagos</w:t>
            </w:r>
          </w:p>
        </w:tc>
        <w:tc>
          <w:tcPr>
            <w:tcW w:type="dxa" w:w="3360"/>
          </w:tcPr>
          <w:p>
            <w:r>
              <w:t>Precisar anticipo, amortización, garantías y manejo requerido.</w:t>
            </w:r>
          </w:p>
        </w:tc>
        <w:tc>
          <w:tcPr>
            <w:tcW w:type="dxa" w:w="3360"/>
          </w:tcPr>
          <w:p>
            <w:r>
              <w:t>Calcular flujo de caja.</w:t>
            </w:r>
          </w:p>
        </w:tc>
      </w:tr>
    </w:tbl>
    <w:p>
      <w:pPr>
        <w:pStyle w:val="Heading1"/>
      </w:pPr>
      <w:r>
        <w:t>4. Propiedad intelectual y costo ilustrativo</w:t>
      </w:r>
    </w:p>
    <w:p>
      <w:pPr>
        <w:pStyle w:val="ListBullet"/>
      </w:pPr>
      <w:r>
        <w:t>Desarrollos nuevos: entregables creados específicamente para la alcaldía; su cesión se valora según alcance contractual.</w:t>
      </w:r>
    </w:p>
    <w:p>
      <w:pPr>
        <w:pStyle w:val="ListBullet"/>
      </w:pPr>
      <w:r>
        <w:t>Componentes preexistentes: conservar titularidad del proveedor y ofrecer licencia perpetua e irrevocable suficiente para usar, mantener y adaptar la solución, transferible a la entidad sucesora cuando legalmente proceda.</w:t>
      </w:r>
    </w:p>
    <w:p>
      <w:pPr>
        <w:pStyle w:val="ListBullet"/>
      </w:pPr>
      <w:r>
        <w:t>Componentes de terceros: se rigen por las licencias correspondientes; no se ceden derechos que el contratista no posee.</w:t>
      </w:r>
    </w:p>
    <w:p>
      <w:r>
        <w:t>Estimación ilustrativa: desarrollo y entregables $120.000.000; documentación, capacitación y despliegue $15.000.000; valoración de cesión total de derechos sobre desarrollos nuevos $35.000.000; total estimado $170.000.000 antes de impuestos. La cesión no debe agregarse como cobro posterior si el pliego la exige: se incorpora al precio base de la oferta y se compara con el presupuesto oficial. Si el presupuesto no resulta viable, se solicita aclaración por el canal oficial o se evalúa no participar.</w:t>
      </w:r>
    </w:p>
    <w:p>
      <w:pPr>
        <w:pStyle w:val="Heading1"/>
      </w:pPr>
      <w:r>
        <w:t>5. Documentos habilitantes y de oferta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Prioridad</w:t>
            </w:r>
          </w:p>
        </w:tc>
        <w:tc>
          <w:tcPr>
            <w:tcW w:type="dxa" w:w="3360"/>
          </w:tcPr>
          <w:p>
            <w:r>
              <w:t>Documento</w:t>
            </w:r>
          </w:p>
        </w:tc>
        <w:tc>
          <w:tcPr>
            <w:tcW w:type="dxa" w:w="3360"/>
          </w:tcPr>
          <w:p>
            <w:r>
              <w:t>Verificación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Matrícula mercantil y certificado de existencia/representación</w:t>
            </w:r>
          </w:p>
        </w:tc>
        <w:tc>
          <w:tcPr>
            <w:tcW w:type="dxa" w:w="3360"/>
          </w:tcPr>
          <w:p>
            <w:r>
              <w:t>Vigencia, facultades y objeto social.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RUT y documentos tributarios</w:t>
            </w:r>
          </w:p>
        </w:tc>
        <w:tc>
          <w:tcPr>
            <w:tcW w:type="dxa" w:w="3360"/>
          </w:tcPr>
          <w:p>
            <w:r>
              <w:t>Datos actualizados.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RUP cuando sea exigible</w:t>
            </w:r>
          </w:p>
        </w:tc>
        <w:tc>
          <w:tcPr>
            <w:tcW w:type="dxa" w:w="3360"/>
          </w:tcPr>
          <w:p>
            <w:r>
              <w:t>Inscripción, clasificación y experiencia solicitadas.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Certificaciones de experiencia</w:t>
            </w:r>
          </w:p>
        </w:tc>
        <w:tc>
          <w:tcPr>
            <w:tcW w:type="dxa" w:w="3360"/>
          </w:tcPr>
          <w:p>
            <w:r>
              <w:t>Cumplimiento de las condiciones del pliego.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Equipo de trabajo y hojas de vida</w:t>
            </w:r>
          </w:p>
        </w:tc>
        <w:tc>
          <w:tcPr>
            <w:tcW w:type="dxa" w:w="3360"/>
          </w:tcPr>
          <w:p>
            <w:r>
              <w:t>Perfiles y experiencia exigidos.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Aportes y antecedentes</w:t>
            </w:r>
          </w:p>
        </w:tc>
        <w:tc>
          <w:tcPr>
            <w:tcW w:type="dxa" w:w="3360"/>
          </w:tcPr>
          <w:p>
            <w:r>
              <w:t>Los exigidos en el proceso y normativa aplicable.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Garantía de seriedad y pólizas</w:t>
            </w:r>
          </w:p>
        </w:tc>
        <w:tc>
          <w:tcPr>
            <w:tcW w:type="dxa" w:w="3360"/>
          </w:tcPr>
          <w:p>
            <w:r>
              <w:t>Solo las exigidas, con valor y vigencia correctos.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Oferta técnica y económica</w:t>
            </w:r>
          </w:p>
        </w:tc>
        <w:tc>
          <w:tcPr>
            <w:tcW w:type="dxa" w:w="3360"/>
          </w:tcPr>
          <w:p>
            <w:r>
              <w:t>Respuesta requisito por requisito, precio, impuestos y cronograma.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Declaraciones y pacto de integridad</w:t>
            </w:r>
          </w:p>
        </w:tc>
        <w:tc>
          <w:tcPr>
            <w:tcW w:type="dxa" w:w="3360"/>
          </w:tcPr>
          <w:p>
            <w:r>
              <w:t>Formatos requeridos por la entidad.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RUB/beneficiarios finales</w:t>
            </w:r>
          </w:p>
        </w:tc>
        <w:tc>
          <w:tcPr>
            <w:tcW w:type="dxa" w:w="3360"/>
          </w:tcPr>
          <w:p>
            <w:r>
              <w:t>Verificar obligación y evidencia aplicable a la empresa.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Ficha de seguridad y datos</w:t>
            </w:r>
          </w:p>
        </w:tc>
        <w:tc>
          <w:tcPr>
            <w:tcW w:type="dxa" w:w="3360"/>
          </w:tcPr>
          <w:p>
            <w:r>
              <w:t>Accesos, confidencialidad y tratamiento de información.</w:t>
            </w:r>
          </w:p>
        </w:tc>
      </w:tr>
    </w:tbl>
    <w:p>
      <w:pPr>
        <w:pStyle w:val="Heading1"/>
      </w:pPr>
      <w:r>
        <w:t>6. Modalidad, penalidades y anticipo</w:t>
      </w:r>
    </w:p>
    <w:p>
      <w:pPr>
        <w:pStyle w:val="ListBullet"/>
      </w:pPr>
      <w:r>
        <w:t>La modalidad y los plazos de observaciones se verifican en el proceso publicado.</w:t>
      </w:r>
    </w:p>
    <w:p>
      <w:pPr>
        <w:pStyle w:val="ListBullet"/>
      </w:pPr>
      <w:r>
        <w:t>Las multas y declaratorias de incumplimiento deben seguir el procedimiento aplicable y el debido proceso, incluyendo el artículo 86 de la Ley 1474 de 2011 cuando corresponda.</w:t>
      </w:r>
    </w:p>
    <w:p>
      <w:pPr>
        <w:pStyle w:val="ListBullet"/>
      </w:pPr>
      <w:r>
        <w:t>Si hay anticipo, verificar las reglas de manejo mediante fiducia/patrimonio autónomo conforme al artículo 91 de la Ley 1474 de 2011 y condiciones aplicables al proceso.</w:t>
      </w:r>
    </w:p>
    <w:p>
      <w:pPr>
        <w:pStyle w:val="ListBullet"/>
      </w:pPr>
      <w:r>
        <w:t>El flujo de caja debe contemplar personal, infraestructura, pólizas, impuestos, garantías y tiempos de pago establecidos en el pliego/minuta.</w:t>
      </w:r>
    </w:p>
    <w:p>
      <w:pPr>
        <w:pStyle w:val="Heading1"/>
      </w:pPr>
      <w:r>
        <w:t>7. Flujo de caja ilustrativo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Concepto</w:t>
            </w:r>
          </w:p>
        </w:tc>
        <w:tc>
          <w:tcPr>
            <w:tcW w:type="dxa" w:w="5040"/>
          </w:tcPr>
          <w:p>
            <w:r>
              <w:t>Valor</w:t>
            </w:r>
          </w:p>
        </w:tc>
      </w:tr>
      <w:tr>
        <w:tc>
          <w:tcPr>
            <w:tcW w:type="dxa" w:w="5040"/>
          </w:tcPr>
          <w:p>
            <w:r>
              <w:t>Personal y desarrollo</w:t>
            </w:r>
          </w:p>
        </w:tc>
        <w:tc>
          <w:tcPr>
            <w:tcW w:type="dxa" w:w="5040"/>
          </w:tcPr>
          <w:p>
            <w:r>
              <w:t>$82.000.000</w:t>
            </w:r>
          </w:p>
        </w:tc>
      </w:tr>
      <w:tr>
        <w:tc>
          <w:tcPr>
            <w:tcW w:type="dxa" w:w="5040"/>
          </w:tcPr>
          <w:p>
            <w:r>
              <w:t>Infraestructura, herramientas y pruebas</w:t>
            </w:r>
          </w:p>
        </w:tc>
        <w:tc>
          <w:tcPr>
            <w:tcW w:type="dxa" w:w="5040"/>
          </w:tcPr>
          <w:p>
            <w:r>
              <w:t>$10.000.000</w:t>
            </w:r>
          </w:p>
        </w:tc>
      </w:tr>
      <w:tr>
        <w:tc>
          <w:tcPr>
            <w:tcW w:type="dxa" w:w="5040"/>
          </w:tcPr>
          <w:p>
            <w:r>
              <w:t>Documentación, capacitación y despliegue</w:t>
            </w:r>
          </w:p>
        </w:tc>
        <w:tc>
          <w:tcPr>
            <w:tcW w:type="dxa" w:w="5040"/>
          </w:tcPr>
          <w:p>
            <w:r>
              <w:t>$8.000.000</w:t>
            </w:r>
          </w:p>
        </w:tc>
      </w:tr>
      <w:tr>
        <w:tc>
          <w:tcPr>
            <w:tcW w:type="dxa" w:w="5040"/>
          </w:tcPr>
          <w:p>
            <w:r>
              <w:t>Garantías, administración y financiación</w:t>
            </w:r>
          </w:p>
        </w:tc>
        <w:tc>
          <w:tcPr>
            <w:tcW w:type="dxa" w:w="5040"/>
          </w:tcPr>
          <w:p>
            <w:r>
              <w:t>$12.000.000</w:t>
            </w:r>
          </w:p>
        </w:tc>
      </w:tr>
      <w:tr>
        <w:tc>
          <w:tcPr>
            <w:tcW w:type="dxa" w:w="5040"/>
          </w:tcPr>
          <w:p>
            <w:r>
              <w:t>Costo estimado</w:t>
            </w:r>
          </w:p>
        </w:tc>
        <w:tc>
          <w:tcPr>
            <w:tcW w:type="dxa" w:w="5040"/>
          </w:tcPr>
          <w:p>
            <w:r>
              <w:t>$112.000.000</w:t>
            </w:r>
          </w:p>
        </w:tc>
      </w:tr>
      <w:tr>
        <w:tc>
          <w:tcPr>
            <w:tcW w:type="dxa" w:w="5040"/>
          </w:tcPr>
          <w:p>
            <w:r>
              <w:t>Precio estimado con cesión</w:t>
            </w:r>
          </w:p>
        </w:tc>
        <w:tc>
          <w:tcPr>
            <w:tcW w:type="dxa" w:w="5040"/>
          </w:tcPr>
          <w:p>
            <w:r>
              <w:t>$170.000.000 antes de impuestos</w:t>
            </w:r>
          </w:p>
        </w:tc>
      </w:tr>
      <w:tr>
        <w:tc>
          <w:tcPr>
            <w:tcW w:type="dxa" w:w="5040"/>
          </w:tcPr>
          <w:p>
            <w:r>
              <w:t>Margen bruto estimado</w:t>
            </w:r>
          </w:p>
        </w:tc>
        <w:tc>
          <w:tcPr>
            <w:tcW w:type="dxa" w:w="5040"/>
          </w:tcPr>
          <w:p>
            <w:r>
              <w:t>$58.000.000 antes de impuestos</w:t>
            </w:r>
          </w:p>
        </w:tc>
      </w:tr>
    </w:tbl>
    <w:p>
      <w:r>
        <w:t>El flujo mensual real debe calcularse con el calendario de pagos publicado. Las cifras anteriores son un ejercicio de viabilidad, no un presupuesto oficial ni una oferta presentada.</w:t>
      </w:r>
    </w:p>
    <w:p>
      <w:pPr>
        <w:pStyle w:val="Heading1"/>
      </w:pPr>
      <w:r>
        <w:t>8. Cláusula propuesta: propiedad intelectual</w:t>
      </w:r>
    </w:p>
    <w:p>
      <w:r>
        <w:t>“Los derechos patrimoniales sobre los entregables desarrollados específicamente para la entidad se cederán en el alcance y bajo las condiciones expresamente establecidas en el contrato y documentos del proceso. Se excluyen de dicha cesión las herramientas, bibliotecas, plantillas, metodologías y conocimientos preexistentes del contratista, así como componentes de terceros, sujetos a sus licencias. Para componentes preexistentes incorporados, el contratista otorgará a la entidad una licencia perpetua e irrevocable suficiente para usar, mantener y adaptar la solución para sus fines institucionales, transferible a la entidad sucesora cuando legalmente proceda. Las partes podrán acordar depósito en custodia del código fuente con condiciones objetivas de liberación para continuidad operativa.”</w:t>
      </w:r>
    </w:p>
    <w:p>
      <w:pPr>
        <w:pStyle w:val="Heading1"/>
      </w:pPr>
      <w:r>
        <w:t>9. Plan de concesiones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Petición</w:t>
            </w:r>
          </w:p>
        </w:tc>
        <w:tc>
          <w:tcPr>
            <w:tcW w:type="dxa" w:w="2520"/>
          </w:tcPr>
          <w:p>
            <w:r>
              <w:t>Concesión posible</w:t>
            </w:r>
          </w:p>
        </w:tc>
        <w:tc>
          <w:tcPr>
            <w:tcW w:type="dxa" w:w="2520"/>
          </w:tcPr>
          <w:p>
            <w:r>
              <w:t>Qué se pide a cambio</w:t>
            </w:r>
          </w:p>
        </w:tc>
        <w:tc>
          <w:tcPr>
            <w:tcW w:type="dxa" w:w="2520"/>
          </w:tcPr>
          <w:p>
            <w:r>
              <w:t>Límite</w:t>
            </w:r>
          </w:p>
        </w:tc>
      </w:tr>
      <w:tr>
        <w:tc>
          <w:tcPr>
            <w:tcW w:type="dxa" w:w="2520"/>
          </w:tcPr>
          <w:p>
            <w:r>
              <w:t>Cesión total</w:t>
            </w:r>
          </w:p>
        </w:tc>
        <w:tc>
          <w:tcPr>
            <w:tcW w:type="dxa" w:w="2520"/>
          </w:tcPr>
          <w:p>
            <w:r>
              <w:t>Ceder derechos de desarrollos nuevos si está claramente exigido y valorado en la oferta.</w:t>
            </w:r>
          </w:p>
        </w:tc>
        <w:tc>
          <w:tcPr>
            <w:tcW w:type="dxa" w:w="2520"/>
          </w:tcPr>
          <w:p>
            <w:r>
              <w:t>Aclaración de alcance y presupuesto suficiente.</w:t>
            </w:r>
          </w:p>
        </w:tc>
        <w:tc>
          <w:tcPr>
            <w:tcW w:type="dxa" w:w="2520"/>
          </w:tcPr>
          <w:p>
            <w:r>
              <w:t>No prometer derechos de terceros ni ceder activos previos sin valorar.</w:t>
            </w:r>
          </w:p>
        </w:tc>
      </w:tr>
      <w:tr>
        <w:tc>
          <w:tcPr>
            <w:tcW w:type="dxa" w:w="2520"/>
          </w:tcPr>
          <w:p>
            <w:r>
              <w:t>Requisitos amplios</w:t>
            </w:r>
          </w:p>
        </w:tc>
        <w:tc>
          <w:tcPr>
            <w:tcW w:type="dxa" w:w="2520"/>
          </w:tcPr>
          <w:p>
            <w:r>
              <w:t>Solicitar aclaración oficial o adenda.</w:t>
            </w:r>
          </w:p>
        </w:tc>
        <w:tc>
          <w:tcPr>
            <w:tcW w:type="dxa" w:w="2520"/>
          </w:tcPr>
          <w:p>
            <w:r>
              <w:t>Requisitos y aceptación verificables.</w:t>
            </w:r>
          </w:p>
        </w:tc>
        <w:tc>
          <w:tcPr>
            <w:tcW w:type="dxa" w:w="2520"/>
          </w:tcPr>
          <w:p>
            <w:r>
              <w:t>No ofertar funciones indeterminadas sin estimación.</w:t>
            </w:r>
          </w:p>
        </w:tc>
      </w:tr>
      <w:tr>
        <w:tc>
          <w:tcPr>
            <w:tcW w:type="dxa" w:w="2520"/>
          </w:tcPr>
          <w:p>
            <w:r>
              <w:t>Precio limitado</w:t>
            </w:r>
          </w:p>
        </w:tc>
        <w:tc>
          <w:tcPr>
            <w:tcW w:type="dxa" w:w="2520"/>
          </w:tcPr>
          <w:p>
            <w:r>
              <w:t>Optimizar fases y reutilizar componentes licenciados.</w:t>
            </w:r>
          </w:p>
        </w:tc>
        <w:tc>
          <w:tcPr>
            <w:tcW w:type="dxa" w:w="2520"/>
          </w:tcPr>
          <w:p>
            <w:r>
              <w:t>Alcance realista y pagos claros.</w:t>
            </w:r>
          </w:p>
        </w:tc>
        <w:tc>
          <w:tcPr>
            <w:tcW w:type="dxa" w:w="2520"/>
          </w:tcPr>
          <w:p>
            <w:r>
              <w:t>No ofertar por debajo del costo viable.</w:t>
            </w:r>
          </w:p>
        </w:tc>
      </w:tr>
      <w:tr>
        <w:tc>
          <w:tcPr>
            <w:tcW w:type="dxa" w:w="2520"/>
          </w:tcPr>
          <w:p>
            <w:r>
              <w:t>Continuidad</w:t>
            </w:r>
          </w:p>
        </w:tc>
        <w:tc>
          <w:tcPr>
            <w:tcW w:type="dxa" w:w="2520"/>
          </w:tcPr>
          <w:p>
            <w:r>
              <w:t>Licencia de componentes preexistentes y evaluar escrow.</w:t>
            </w:r>
          </w:p>
        </w:tc>
        <w:tc>
          <w:tcPr>
            <w:tcW w:type="dxa" w:w="2520"/>
          </w:tcPr>
          <w:p>
            <w:r>
              <w:t>Reglas de acceso/custodia/liberación.</w:t>
            </w:r>
          </w:p>
        </w:tc>
        <w:tc>
          <w:tcPr>
            <w:tcW w:type="dxa" w:w="2520"/>
          </w:tcPr>
          <w:p>
            <w:r>
              <w:t>Respetar licencias de terceros.</w:t>
            </w:r>
          </w:p>
        </w:tc>
      </w:tr>
    </w:tbl>
    <w:p>
      <w:pPr>
        <w:pStyle w:val="Heading1"/>
      </w:pPr>
      <w:r>
        <w:t>10. Objeciones y respuestas</w:t>
      </w:r>
    </w:p>
    <w:p>
      <w:pPr>
        <w:pStyle w:val="ListBullet"/>
      </w:pPr>
      <w:r>
        <w:t>“La entidad exige todos los derechos”: solicitar precisión sobre entregables y valorar la cesión exigida dentro del precio base.</w:t>
      </w:r>
    </w:p>
    <w:p>
      <w:pPr>
        <w:pStyle w:val="ListBullet"/>
      </w:pPr>
      <w:r>
        <w:t>“No hay tiempo para aclarar”: presentar observaciones por el canal oficial y dentro del plazo aplicable.</w:t>
      </w:r>
    </w:p>
    <w:p>
      <w:pPr>
        <w:pStyle w:val="ListBullet"/>
      </w:pPr>
      <w:r>
        <w:t>“El precio debe incluir todo”: incluir los costos obligatorios en la oferta; no depender de cobros posteriores incompatibles con el proceso.</w:t>
      </w:r>
    </w:p>
    <w:p>
      <w:pPr>
        <w:pStyle w:val="ListBullet"/>
      </w:pPr>
      <w:r>
        <w:t>“El anticipo se paga directamente”: verificar pliego, normativa y mecanismo de manejo exigible.</w:t>
      </w:r>
    </w:p>
    <w:p>
      <w:pPr>
        <w:pStyle w:val="Heading1"/>
      </w:pPr>
      <w:r>
        <w:t>11. Anexo de cifras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Variable</w:t>
            </w:r>
          </w:p>
        </w:tc>
        <w:tc>
          <w:tcPr>
            <w:tcW w:type="dxa" w:w="5040"/>
          </w:tcPr>
          <w:p>
            <w:r>
              <w:t>Valor ilustrativo/criterio</w:t>
            </w:r>
          </w:p>
        </w:tc>
      </w:tr>
      <w:tr>
        <w:tc>
          <w:tcPr>
            <w:tcW w:type="dxa" w:w="5040"/>
          </w:tcPr>
          <w:p>
            <w:r>
              <w:t>Desarrollo y entregables</w:t>
            </w:r>
          </w:p>
        </w:tc>
        <w:tc>
          <w:tcPr>
            <w:tcW w:type="dxa" w:w="5040"/>
          </w:tcPr>
          <w:p>
            <w:r>
              <w:t>$120.000.000</w:t>
            </w:r>
          </w:p>
        </w:tc>
      </w:tr>
      <w:tr>
        <w:tc>
          <w:tcPr>
            <w:tcW w:type="dxa" w:w="5040"/>
          </w:tcPr>
          <w:p>
            <w:r>
              <w:t>Documentación, capacitación y despliegue</w:t>
            </w:r>
          </w:p>
        </w:tc>
        <w:tc>
          <w:tcPr>
            <w:tcW w:type="dxa" w:w="5040"/>
          </w:tcPr>
          <w:p>
            <w:r>
              <w:t>$15.000.000</w:t>
            </w:r>
          </w:p>
        </w:tc>
      </w:tr>
      <w:tr>
        <w:tc>
          <w:tcPr>
            <w:tcW w:type="dxa" w:w="5040"/>
          </w:tcPr>
          <w:p>
            <w:r>
              <w:t>Valoración de cesión de desarrollos nuevos</w:t>
            </w:r>
          </w:p>
        </w:tc>
        <w:tc>
          <w:tcPr>
            <w:tcW w:type="dxa" w:w="5040"/>
          </w:tcPr>
          <w:p>
            <w:r>
              <w:t>$35.000.000</w:t>
            </w:r>
          </w:p>
        </w:tc>
      </w:tr>
      <w:tr>
        <w:tc>
          <w:tcPr>
            <w:tcW w:type="dxa" w:w="5040"/>
          </w:tcPr>
          <w:p>
            <w:r>
              <w:t>Precio estimado</w:t>
            </w:r>
          </w:p>
        </w:tc>
        <w:tc>
          <w:tcPr>
            <w:tcW w:type="dxa" w:w="5040"/>
          </w:tcPr>
          <w:p>
            <w:r>
              <w:t>$170.000.000 antes de impuestos</w:t>
            </w:r>
          </w:p>
        </w:tc>
      </w:tr>
      <w:tr>
        <w:tc>
          <w:tcPr>
            <w:tcW w:type="dxa" w:w="5040"/>
          </w:tcPr>
          <w:p>
            <w:r>
              <w:t>Costo interno estimado</w:t>
            </w:r>
          </w:p>
        </w:tc>
        <w:tc>
          <w:tcPr>
            <w:tcW w:type="dxa" w:w="5040"/>
          </w:tcPr>
          <w:p>
            <w:r>
              <w:t>$112.000.000</w:t>
            </w:r>
          </w:p>
        </w:tc>
      </w:tr>
      <w:tr>
        <w:tc>
          <w:tcPr>
            <w:tcW w:type="dxa" w:w="5040"/>
          </w:tcPr>
          <w:p>
            <w:r>
              <w:t>Margen bruto</w:t>
            </w:r>
          </w:p>
        </w:tc>
        <w:tc>
          <w:tcPr>
            <w:tcW w:type="dxa" w:w="5040"/>
          </w:tcPr>
          <w:p>
            <w:r>
              <w:t>$58.000.000 antes de impuestos</w:t>
            </w:r>
          </w:p>
        </w:tc>
      </w:tr>
      <w:tr>
        <w:tc>
          <w:tcPr>
            <w:tcW w:type="dxa" w:w="5040"/>
          </w:tcPr>
          <w:p>
            <w:r>
              <w:t>Condición</w:t>
            </w:r>
          </w:p>
        </w:tc>
        <w:tc>
          <w:tcPr>
            <w:tcW w:type="dxa" w:w="5040"/>
          </w:tcPr>
          <w:p>
            <w:r>
              <w:t>Incluir cesión en precio base si es obligatoria y validar contra presupuesto oficial</w:t>
            </w:r>
          </w:p>
        </w:tc>
      </w:tr>
    </w:tbl>
    <w:p>
      <w:pPr>
        <w:pStyle w:val="Heading1"/>
      </w:pPr>
      <w:r>
        <w:t>12. Conclusión</w:t>
      </w:r>
    </w:p>
    <w:p>
      <w:r>
        <w:t>La empresa debe actuar por los canales oficiales, aclarar el alcance, identificar los requisitos habilitantes y distinguir propiedad intelectual nueva, preexistente y de terceros. Los valores y las condiciones finales dependen del pliego y del proceso concreto.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