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NEGOCIACIÓN DE SOFTWARE: ACTIVIDADES Y ENTREGABLES</w:t>
      </w:r>
    </w:p>
    <w:p>
      <w:pPr>
        <w:jc w:val="center"/>
      </w:pPr>
      <w:r>
        <w:rPr>
          <w:b/>
          <w:sz w:val="26"/>
        </w:rPr>
        <w:t>DOCUMENTO GENERAL Y LISTA DE VERIFICACIÓN</w:t>
      </w:r>
    </w:p>
    <w:p>
      <w:r>
        <w:t>Empresa ficticia: Soluciones Digitales Andinas S.A.S.</w:t>
      </w:r>
    </w:p>
    <w:p>
      <w:r>
        <w:t>Aprendiz: Mariana ____________________</w:t>
      </w:r>
    </w:p>
    <w:p>
      <w:r>
        <w:t>Programa: Análisis y Desarrollo de Software – SENA</w:t>
      </w:r>
    </w:p>
    <w:p>
      <w:r>
        <w:t>Fecha: ____________________</w:t>
      </w:r>
    </w:p>
    <w:p>
      <w:r>
        <w:t>Nota: Las cifras comerciales son supuestos ilustrativos para la actividad; deben validarse antes de usarse en un contrato real.</w:t>
      </w:r>
    </w:p>
    <w:p>
      <w:pPr>
        <w:pStyle w:val="Heading1"/>
      </w:pPr>
      <w:r>
        <w:t>1. Objetivo</w:t>
      </w:r>
    </w:p>
    <w:p>
      <w:r>
        <w:t>Este documento acompaña los cuatro casos individuales y resume los documentos transversales que deben prepararse en una negociación de software.</w:t>
      </w:r>
    </w:p>
    <w:p>
      <w:pPr>
        <w:pStyle w:val="Heading1"/>
      </w:pPr>
      <w:r>
        <w:t>2. Documentos 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Documento</w:t>
            </w:r>
          </w:p>
        </w:tc>
        <w:tc>
          <w:tcPr>
            <w:tcW w:type="dxa" w:w="5040"/>
          </w:tcPr>
          <w:p>
            <w:r>
              <w:t>Contenido mínimo</w:t>
            </w:r>
          </w:p>
        </w:tc>
      </w:tr>
      <w:tr>
        <w:tc>
          <w:tcPr>
            <w:tcW w:type="dxa" w:w="5040"/>
          </w:tcPr>
          <w:p>
            <w:r>
              <w:t>Análisis de contraparte</w:t>
            </w:r>
          </w:p>
        </w:tc>
        <w:tc>
          <w:tcPr>
            <w:tcW w:type="dxa" w:w="5040"/>
          </w:tcPr>
          <w:p>
            <w:r>
              <w:t>Decisores, necesidad, presupuesto, costo de no actuar, alternativas y restricciones.</w:t>
            </w:r>
          </w:p>
        </w:tc>
      </w:tr>
      <w:tr>
        <w:tc>
          <w:tcPr>
            <w:tcW w:type="dxa" w:w="5040"/>
          </w:tcPr>
          <w:p>
            <w:r>
              <w:t>BATNA, precio piso y ZOPA</w:t>
            </w:r>
          </w:p>
        </w:tc>
        <w:tc>
          <w:tcPr>
            <w:tcW w:type="dxa" w:w="5040"/>
          </w:tcPr>
          <w:p>
            <w:r>
              <w:t>Alternativas de ambas partes, precio de lista, descuento máximo y rango de acuerdo.</w:t>
            </w:r>
          </w:p>
        </w:tc>
      </w:tr>
      <w:tr>
        <w:tc>
          <w:tcPr>
            <w:tcW w:type="dxa" w:w="5040"/>
          </w:tcPr>
          <w:p>
            <w:r>
              <w:t>Modelo de precios y TCO</w:t>
            </w:r>
          </w:p>
        </w:tc>
        <w:tc>
          <w:tcPr>
            <w:tcW w:type="dxa" w:w="5040"/>
          </w:tcPr>
          <w:p>
            <w:r>
              <w:t>Pagos iniciales y recurrentes, implementación, capacitación, infraestructura y crecimiento.</w:t>
            </w:r>
          </w:p>
        </w:tc>
      </w:tr>
      <w:tr>
        <w:tc>
          <w:tcPr>
            <w:tcW w:type="dxa" w:w="5040"/>
          </w:tcPr>
          <w:p>
            <w:r>
              <w:t>Caso de negocio/ROI</w:t>
            </w:r>
          </w:p>
        </w:tc>
        <w:tc>
          <w:tcPr>
            <w:tcW w:type="dxa" w:w="5040"/>
          </w:tcPr>
          <w:p>
            <w:r>
              <w:t>Beneficios, inversión, retorno, payback, supuestos y riesgos.</w:t>
            </w:r>
          </w:p>
        </w:tc>
      </w:tr>
      <w:tr>
        <w:tc>
          <w:tcPr>
            <w:tcW w:type="dxa" w:w="5040"/>
          </w:tcPr>
          <w:p>
            <w:r>
              <w:t>Ficha técnica y seguridad</w:t>
            </w:r>
          </w:p>
        </w:tc>
        <w:tc>
          <w:tcPr>
            <w:tcW w:type="dxa" w:w="5040"/>
          </w:tcPr>
          <w:p>
            <w:r>
              <w:t>Arquitectura, cifrado, accesos, auditoría, respaldos, RTO/RPO, ubicación y subencargados.</w:t>
            </w:r>
          </w:p>
        </w:tc>
      </w:tr>
      <w:tr>
        <w:tc>
          <w:tcPr>
            <w:tcW w:type="dxa" w:w="5040"/>
          </w:tcPr>
          <w:p>
            <w:r>
              <w:t>NDA</w:t>
            </w:r>
          </w:p>
        </w:tc>
        <w:tc>
          <w:tcPr>
            <w:tcW w:type="dxa" w:w="5040"/>
          </w:tcPr>
          <w:p>
            <w:r>
              <w:t>Confidencialidad, uso permitido, duración, excepciones y devolución/destrucción.</w:t>
            </w:r>
          </w:p>
        </w:tc>
      </w:tr>
      <w:tr>
        <w:tc>
          <w:tcPr>
            <w:tcW w:type="dxa" w:w="5040"/>
          </w:tcPr>
          <w:p>
            <w:r>
              <w:t>Datos personales</w:t>
            </w:r>
          </w:p>
        </w:tc>
        <w:tc>
          <w:tcPr>
            <w:tcW w:type="dxa" w:w="5040"/>
          </w:tcPr>
          <w:p>
            <w:r>
              <w:t>Responsable/encargado, finalidad, datos sensibles, seguridad, incidentes, subencargados y supresión.</w:t>
            </w:r>
          </w:p>
        </w:tc>
      </w:tr>
      <w:tr>
        <w:tc>
          <w:tcPr>
            <w:tcW w:type="dxa" w:w="5040"/>
          </w:tcPr>
          <w:p>
            <w:r>
              <w:t>Contrato y anexos</w:t>
            </w:r>
          </w:p>
        </w:tc>
        <w:tc>
          <w:tcPr>
            <w:tcW w:type="dxa" w:w="5040"/>
          </w:tcPr>
          <w:p>
            <w:r>
              <w:t>Objeto, alcance, precio, pagos, propiedad intelectual, garantía, responsabilidad y terminación.</w:t>
            </w:r>
          </w:p>
        </w:tc>
      </w:tr>
    </w:tbl>
    <w:p>
      <w:pPr>
        <w:pStyle w:val="Heading1"/>
      </w:pPr>
      <w:r>
        <w:t>3. Lista de verificación</w:t>
      </w:r>
    </w:p>
    <w:p>
      <w:pPr>
        <w:pStyle w:val="ListBullet"/>
      </w:pPr>
      <w:r>
        <w:t>Una sola versión definitiva por caso y cifras coherentes entre texto, tablas y cláusulas.</w:t>
      </w:r>
    </w:p>
    <w:p>
      <w:pPr>
        <w:pStyle w:val="ListBullet"/>
      </w:pPr>
      <w:r>
        <w:t>Cada concesión indica qué se concede, qué se solicita a cambio y cuál es el límite.</w:t>
      </w:r>
    </w:p>
    <w:p>
      <w:pPr>
        <w:pStyle w:val="ListBullet"/>
      </w:pPr>
      <w:r>
        <w:t>Las cláusulas remiten únicamente a anexos que existen en el documento.</w:t>
      </w:r>
    </w:p>
    <w:p>
      <w:pPr>
        <w:pStyle w:val="ListBullet"/>
      </w:pPr>
      <w:r>
        <w:t>Se distingue el enunciado oficial de los supuestos comerciales ilustrativos.</w:t>
      </w:r>
    </w:p>
    <w:p>
      <w:pPr>
        <w:pStyle w:val="ListBullet"/>
      </w:pPr>
      <w:r>
        <w:t>Completar aprendiz y fecha antes de entregar.</w:t>
      </w:r>
    </w:p>
    <w:p>
      <w:pPr>
        <w:pStyle w:val="ListBullet"/>
      </w:pPr>
      <w:r>
        <w:t>En el caso público, validar modalidad, cronograma, requisitos y normas contra el proceso concreto.</w:t>
      </w:r>
    </w:p>
    <w:p>
      <w:pPr>
        <w:pStyle w:val="ListBullet"/>
      </w:pPr>
      <w:r>
        <w:t>Solicitar revisión jurídica antes de usar cláusulas en un contrato real.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