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DOCUMENTACIÓN DEL SECTOR PRIVADO – CASO 1: LICENCIA DE SOFTWARE</w:t>
      </w:r>
    </w:p>
    <w:p>
      <w:r>
        <w:t>Empresa proveedora ficticia: Soluciones Digitales Andinas S.A.S.</w:t>
      </w:r>
    </w:p>
    <w:p>
      <w:r>
        <w:t>Actividad académica – Análisis y Desarrollo de Software, SENA</w:t>
      </w:r>
    </w:p>
    <w:p>
      <w:r>
        <w:t>Nota: Los nombres, cifras y condiciones propuestos son ficticios y se usan únicamente con fines académicos.</w:t>
      </w:r>
    </w:p>
    <w:p>
      <w:pPr>
        <w:pStyle w:val="Heading1"/>
      </w:pPr>
      <w:r>
        <w:t>1. Situación del caso</w:t>
      </w:r>
    </w:p>
    <w:p>
      <w:r>
        <w:t>Una cadena de ferreterías con 12 sedes desea adquirir un sistema de inventario con licencia por sede y soporte anual. Solicita 25 % de descuento, pago a 90 días y entrega del código fuente. La empresa proveedora debe proteger la rentabilidad y su propiedad intelectual sin cerrar la puerta a una negociación.</w:t>
      </w:r>
    </w:p>
    <w:p>
      <w:pPr>
        <w:pStyle w:val="Heading1"/>
      </w:pPr>
      <w:r>
        <w:t>2. Análisis de la contraparte</w:t>
      </w:r>
    </w:p>
    <w:p>
      <w:pPr>
        <w:pStyle w:val="ListBullet"/>
      </w:pPr>
      <w:r>
        <w:t>Cliente: cadena privada de ferreterías con 12 sedes.</w:t>
      </w:r>
    </w:p>
    <w:p>
      <w:pPr>
        <w:pStyle w:val="ListBullet"/>
      </w:pPr>
      <w:r>
        <w:t>Necesidad: controlar inventario, entradas y salidas, ventas y reportes desde las distintas sedes.</w:t>
      </w:r>
    </w:p>
    <w:p>
      <w:pPr>
        <w:pStyle w:val="ListBullet"/>
      </w:pPr>
      <w:r>
        <w:t>Posibles decisores: gerencia, área financiera y responsable de tecnología.</w:t>
      </w:r>
    </w:p>
    <w:p>
      <w:pPr>
        <w:pStyle w:val="ListBullet"/>
      </w:pPr>
      <w:r>
        <w:t>Intereses del cliente: bajar el costo total, implementar el sistema en todas las sedes y contar con soporte.</w:t>
      </w:r>
    </w:p>
    <w:p>
      <w:pPr>
        <w:pStyle w:val="ListBullet"/>
      </w:pPr>
      <w:r>
        <w:t>Intereses del proveedor: recibir el pago en un plazo razonable, mantener la rentabilidad y conservar el código fuente y los componentes reutilizables.</w:t>
      </w:r>
    </w:p>
    <w:p>
      <w:pPr>
        <w:pStyle w:val="ListBullet"/>
      </w:pPr>
      <w:r>
        <w:t>Riesgos: descuento excesivo, retraso de cartera, aumento de soporte no cotizado y pérdida de propiedad intelectual.</w:t>
      </w:r>
    </w:p>
    <w:p>
      <w:pPr>
        <w:pStyle w:val="Heading1"/>
      </w:pPr>
      <w:r>
        <w:t>3. Precio piso, BATNA y ZOPA</w:t>
      </w:r>
    </w:p>
    <w:tbl>
      <w:tblPr>
        <w:tblStyle w:val="TableGrid"/>
        <w:tblW w:type="auto" w:w="0"/>
        <w:tblLook w:firstColumn="1" w:firstRow="1" w:lastColumn="0" w:lastRow="0" w:noHBand="0" w:noVBand="1" w:val="04A0"/>
      </w:tblPr>
      <w:tblGrid>
        <w:gridCol w:w="4968"/>
        <w:gridCol w:w="4968"/>
      </w:tblGrid>
      <w:tr>
        <w:tc>
          <w:tcPr>
            <w:tcW w:type="dxa" w:w="4968"/>
          </w:tcPr>
          <w:p>
            <w:r>
              <w:t>Concepto</w:t>
            </w:r>
          </w:p>
        </w:tc>
        <w:tc>
          <w:tcPr>
            <w:tcW w:type="dxa" w:w="4968"/>
          </w:tcPr>
          <w:p>
            <w:r>
              <w:t>Propuesta</w:t>
            </w:r>
          </w:p>
        </w:tc>
      </w:tr>
      <w:tr>
        <w:tc>
          <w:tcPr>
            <w:tcW w:type="dxa" w:w="4968"/>
          </w:tcPr>
          <w:p>
            <w:r>
              <w:t>Precio de lista</w:t>
            </w:r>
          </w:p>
        </w:tc>
        <w:tc>
          <w:tcPr>
            <w:tcW w:type="dxa" w:w="4968"/>
          </w:tcPr>
          <w:p>
            <w:r>
              <w:t>COP $8.000.000 por sede; 12 sedes = COP $96.000.000.</w:t>
            </w:r>
          </w:p>
        </w:tc>
      </w:tr>
      <w:tr>
        <w:tc>
          <w:tcPr>
            <w:tcW w:type="dxa" w:w="4968"/>
          </w:tcPr>
          <w:p>
            <w:r>
              <w:t>Precio objetivo</w:t>
            </w:r>
          </w:p>
        </w:tc>
        <w:tc>
          <w:tcPr>
            <w:tcW w:type="dxa" w:w="4968"/>
          </w:tcPr>
          <w:p>
            <w:r>
              <w:t>COP $86.400.000, equivalente a un descuento del 10 %, sujeto a condiciones acordadas.</w:t>
            </w:r>
          </w:p>
        </w:tc>
      </w:tr>
      <w:tr>
        <w:tc>
          <w:tcPr>
            <w:tcW w:type="dxa" w:w="4968"/>
          </w:tcPr>
          <w:p>
            <w:r>
              <w:t>Precio piso</w:t>
            </w:r>
          </w:p>
        </w:tc>
        <w:tc>
          <w:tcPr>
            <w:tcW w:type="dxa" w:w="4968"/>
          </w:tcPr>
          <w:p>
            <w:r>
              <w:t>COP $84.000.000, equivalente a un descuento máximo aproximado del 12,5 %, sin incluir cesión del código fuente.</w:t>
            </w:r>
          </w:p>
        </w:tc>
      </w:tr>
      <w:tr>
        <w:tc>
          <w:tcPr>
            <w:tcW w:type="dxa" w:w="4968"/>
          </w:tcPr>
          <w:p>
            <w:r>
              <w:t>BATNA del proveedor</w:t>
            </w:r>
          </w:p>
        </w:tc>
        <w:tc>
          <w:tcPr>
            <w:tcW w:type="dxa" w:w="4968"/>
          </w:tcPr>
          <w:p>
            <w:r>
              <w:t>Ofrecer licencias a otros clientes o proponer implementación gradual por grupos de sedes.</w:t>
            </w:r>
          </w:p>
        </w:tc>
      </w:tr>
      <w:tr>
        <w:tc>
          <w:tcPr>
            <w:tcW w:type="dxa" w:w="4968"/>
          </w:tcPr>
          <w:p>
            <w:r>
              <w:t>BATNA del comprador</w:t>
            </w:r>
          </w:p>
        </w:tc>
        <w:tc>
          <w:tcPr>
            <w:tcW w:type="dxa" w:w="4968"/>
          </w:tcPr>
          <w:p>
            <w:r>
              <w:t>Cotizar con otros proveedores o mantener temporalmente su sistema actual.</w:t>
            </w:r>
          </w:p>
        </w:tc>
      </w:tr>
      <w:tr>
        <w:tc>
          <w:tcPr>
            <w:tcW w:type="dxa" w:w="4968"/>
          </w:tcPr>
          <w:p>
            <w:r>
              <w:t>ZOPA</w:t>
            </w:r>
          </w:p>
        </w:tc>
        <w:tc>
          <w:tcPr>
            <w:tcW w:type="dxa" w:w="4968"/>
          </w:tcPr>
          <w:p>
            <w:r>
              <w:t>Se alcanza si el presupuesto máximo del cliente es igual o superior al mínimo viable del proveedor y ambas partes aceptan las condiciones de pago e propiedad intelectual.</w:t>
            </w:r>
          </w:p>
        </w:tc>
      </w:tr>
    </w:tbl>
    <w:p>
      <w:pPr>
        <w:pStyle w:val="Heading1"/>
      </w:pPr>
      <w:r>
        <w:t>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Petición del cliente</w:t>
            </w:r>
          </w:p>
        </w:tc>
        <w:tc>
          <w:tcPr>
            <w:tcW w:type="dxa" w:w="2484"/>
          </w:tcPr>
          <w:p>
            <w:r>
              <w:t>Concesión posible</w:t>
            </w:r>
          </w:p>
        </w:tc>
        <w:tc>
          <w:tcPr>
            <w:tcW w:type="dxa" w:w="2484"/>
          </w:tcPr>
          <w:p>
            <w:r>
              <w:t>A cambio de</w:t>
            </w:r>
          </w:p>
        </w:tc>
        <w:tc>
          <w:tcPr>
            <w:tcW w:type="dxa" w:w="2484"/>
          </w:tcPr>
          <w:p>
            <w:r>
              <w:t>Límite</w:t>
            </w:r>
          </w:p>
        </w:tc>
      </w:tr>
      <w:tr>
        <w:tc>
          <w:tcPr>
            <w:tcW w:type="dxa" w:w="2484"/>
          </w:tcPr>
          <w:p>
            <w:r>
              <w:t>Descuento del 25 %</w:t>
            </w:r>
          </w:p>
        </w:tc>
        <w:tc>
          <w:tcPr>
            <w:tcW w:type="dxa" w:w="2484"/>
          </w:tcPr>
          <w:p>
            <w:r>
              <w:t>Ofrecer hasta 10 % inicialmente y evaluar un máximo de 12,5 %.</w:t>
            </w:r>
          </w:p>
        </w:tc>
        <w:tc>
          <w:tcPr>
            <w:tcW w:type="dxa" w:w="2484"/>
          </w:tcPr>
          <w:p>
            <w:r>
              <w:t>Compra de las 12 licencias, firma dentro de la vigencia de la oferta y pago inicial.</w:t>
            </w:r>
          </w:p>
        </w:tc>
        <w:tc>
          <w:tcPr>
            <w:tcW w:type="dxa" w:w="2484"/>
          </w:tcPr>
          <w:p>
            <w:r>
              <w:t>No bajar del precio piso.</w:t>
            </w:r>
          </w:p>
        </w:tc>
      </w:tr>
      <w:tr>
        <w:tc>
          <w:tcPr>
            <w:tcW w:type="dxa" w:w="2484"/>
          </w:tcPr>
          <w:p>
            <w:r>
              <w:t>Pago a 90 días</w:t>
            </w:r>
          </w:p>
        </w:tc>
        <w:tc>
          <w:tcPr>
            <w:tcW w:type="dxa" w:w="2484"/>
          </w:tcPr>
          <w:p>
            <w:r>
              <w:t>Proponer 30 % de anticipo, 40 % al instalar y 30 % a 30 días de aceptación.</w:t>
            </w:r>
          </w:p>
        </w:tc>
        <w:tc>
          <w:tcPr>
            <w:tcW w:type="dxa" w:w="2484"/>
          </w:tcPr>
          <w:p>
            <w:r>
              <w:t>Calendario firmado y aceptación oportuna de entregables.</w:t>
            </w:r>
          </w:p>
        </w:tc>
        <w:tc>
          <w:tcPr>
            <w:tcW w:type="dxa" w:w="2484"/>
          </w:tcPr>
          <w:p>
            <w:r>
              <w:t>No financiar el proyecto completo a 90 días sin evaluación crediticia.</w:t>
            </w:r>
          </w:p>
        </w:tc>
      </w:tr>
      <w:tr>
        <w:tc>
          <w:tcPr>
            <w:tcW w:type="dxa" w:w="2484"/>
          </w:tcPr>
          <w:p>
            <w:r>
              <w:t>Entrega del código fuente</w:t>
            </w:r>
          </w:p>
        </w:tc>
        <w:tc>
          <w:tcPr>
            <w:tcW w:type="dxa" w:w="2484"/>
          </w:tcPr>
          <w:p>
            <w:r>
              <w:t>Entregar licencia de uso y documentación técnica acordada; negociar escrow o cesión limitada si existe justificación y precio separado.</w:t>
            </w:r>
          </w:p>
        </w:tc>
        <w:tc>
          <w:tcPr>
            <w:tcW w:type="dxa" w:w="2484"/>
          </w:tcPr>
          <w:p>
            <w:r>
              <w:t>Pago adicional, alcance jurídico definido y protección de componentes preexistentes.</w:t>
            </w:r>
          </w:p>
        </w:tc>
        <w:tc>
          <w:tcPr>
            <w:tcW w:type="dxa" w:w="2484"/>
          </w:tcPr>
          <w:p>
            <w:r>
              <w:t>No entregar gratuitamente código reutilizable ni herramientas propias.</w:t>
            </w:r>
          </w:p>
        </w:tc>
      </w:tr>
      <w:tr>
        <w:tc>
          <w:tcPr>
            <w:tcW w:type="dxa" w:w="2484"/>
          </w:tcPr>
          <w:p>
            <w:r>
              <w:t>Soporte anual</w:t>
            </w:r>
          </w:p>
        </w:tc>
        <w:tc>
          <w:tcPr>
            <w:tcW w:type="dxa" w:w="2484"/>
          </w:tcPr>
          <w:p>
            <w:r>
              <w:t>Incluir soporte estándar en horario laboral y definir tiempos de respuesta.</w:t>
            </w:r>
          </w:p>
        </w:tc>
        <w:tc>
          <w:tcPr>
            <w:tcW w:type="dxa" w:w="2484"/>
          </w:tcPr>
          <w:p>
            <w:r>
              <w:t>Uso conforme a la licencia y canal único de soporte.</w:t>
            </w:r>
          </w:p>
        </w:tc>
        <w:tc>
          <w:tcPr>
            <w:tcW w:type="dxa" w:w="2484"/>
          </w:tcPr>
          <w:p>
            <w:r>
              <w:t>Soporte 24/7, nuevas funciones y visitas presenciales se cotizan aparte.</w:t>
            </w:r>
          </w:p>
        </w:tc>
      </w:tr>
    </w:tbl>
    <w:p>
      <w:pPr>
        <w:pStyle w:val="Heading1"/>
      </w:pPr>
      <w:r>
        <w:t>5. Documentos priorizados</w:t>
      </w:r>
    </w:p>
    <w:tbl>
      <w:tblPr>
        <w:tblStyle w:val="TableGrid"/>
        <w:tblW w:type="auto" w:w="0"/>
        <w:tblLook w:firstColumn="1" w:firstRow="1" w:lastColumn="0" w:lastRow="0" w:noHBand="0" w:noVBand="1" w:val="04A0"/>
      </w:tblPr>
      <w:tblGrid>
        <w:gridCol w:w="3312"/>
        <w:gridCol w:w="3312"/>
        <w:gridCol w:w="3312"/>
      </w:tblGrid>
      <w:tr>
        <w:tc>
          <w:tcPr>
            <w:tcW w:type="dxa" w:w="3312"/>
          </w:tcPr>
          <w:p>
            <w:r>
              <w:t>Prioridad</w:t>
            </w:r>
          </w:p>
        </w:tc>
        <w:tc>
          <w:tcPr>
            <w:tcW w:type="dxa" w:w="3312"/>
          </w:tcPr>
          <w:p>
            <w:r>
              <w:t>Documento</w:t>
            </w:r>
          </w:p>
        </w:tc>
        <w:tc>
          <w:tcPr>
            <w:tcW w:type="dxa" w:w="3312"/>
          </w:tcPr>
          <w:p>
            <w:r>
              <w:t>Contenido principal</w:t>
            </w:r>
          </w:p>
        </w:tc>
      </w:tr>
      <w:tr>
        <w:tc>
          <w:tcPr>
            <w:tcW w:type="dxa" w:w="3312"/>
          </w:tcPr>
          <w:p>
            <w:r>
              <w:t>1</w:t>
            </w:r>
          </w:p>
        </w:tc>
        <w:tc>
          <w:tcPr>
            <w:tcW w:type="dxa" w:w="3312"/>
          </w:tcPr>
          <w:p>
            <w:r>
              <w:t>Análisis de la contraparte</w:t>
            </w:r>
          </w:p>
        </w:tc>
        <w:tc>
          <w:tcPr>
            <w:tcW w:type="dxa" w:w="3312"/>
          </w:tcPr>
          <w:p>
            <w:r>
              <w:t>Decisores, necesidad, presupuesto, alternativas y riesgos.</w:t>
            </w:r>
          </w:p>
        </w:tc>
      </w:tr>
      <w:tr>
        <w:tc>
          <w:tcPr>
            <w:tcW w:type="dxa" w:w="3312"/>
          </w:tcPr>
          <w:p>
            <w:r>
              <w:t>2</w:t>
            </w:r>
          </w:p>
        </w:tc>
        <w:tc>
          <w:tcPr>
            <w:tcW w:type="dxa" w:w="3312"/>
          </w:tcPr>
          <w:p>
            <w:r>
              <w:t>Propuesta comercial y modelo de precios</w:t>
            </w:r>
          </w:p>
        </w:tc>
        <w:tc>
          <w:tcPr>
            <w:tcW w:type="dxa" w:w="3312"/>
          </w:tcPr>
          <w:p>
            <w:r>
              <w:t>Licencias por sede, implementación, soporte anual, impuestos, vigencia y forma de pago.</w:t>
            </w:r>
          </w:p>
        </w:tc>
      </w:tr>
      <w:tr>
        <w:tc>
          <w:tcPr>
            <w:tcW w:type="dxa" w:w="3312"/>
          </w:tcPr>
          <w:p>
            <w:r>
              <w:t>3</w:t>
            </w:r>
          </w:p>
        </w:tc>
        <w:tc>
          <w:tcPr>
            <w:tcW w:type="dxa" w:w="3312"/>
          </w:tcPr>
          <w:p>
            <w:r>
              <w:t>Caso de negocio y ROI</w:t>
            </w:r>
          </w:p>
        </w:tc>
        <w:tc>
          <w:tcPr>
            <w:tcW w:type="dxa" w:w="3312"/>
          </w:tcPr>
          <w:p>
            <w:r>
              <w:t>Beneficios esperados, ahorro de tiempo, reducción de errores y supuestos utilizados.</w:t>
            </w:r>
          </w:p>
        </w:tc>
      </w:tr>
      <w:tr>
        <w:tc>
          <w:tcPr>
            <w:tcW w:type="dxa" w:w="3312"/>
          </w:tcPr>
          <w:p>
            <w:r>
              <w:t>4</w:t>
            </w:r>
          </w:p>
        </w:tc>
        <w:tc>
          <w:tcPr>
            <w:tcW w:type="dxa" w:w="3312"/>
          </w:tcPr>
          <w:p>
            <w:r>
              <w:t>Ficha técnica y de seguridad</w:t>
            </w:r>
          </w:p>
        </w:tc>
        <w:tc>
          <w:tcPr>
            <w:tcW w:type="dxa" w:w="3312"/>
          </w:tcPr>
          <w:p>
            <w:r>
              <w:t>Requisitos, arquitectura, perfiles de acceso, copias de seguridad y actualizaciones.</w:t>
            </w:r>
          </w:p>
        </w:tc>
      </w:tr>
      <w:tr>
        <w:tc>
          <w:tcPr>
            <w:tcW w:type="dxa" w:w="3312"/>
          </w:tcPr>
          <w:p>
            <w:r>
              <w:t>5</w:t>
            </w:r>
          </w:p>
        </w:tc>
        <w:tc>
          <w:tcPr>
            <w:tcW w:type="dxa" w:w="3312"/>
          </w:tcPr>
          <w:p>
            <w:r>
              <w:t>NDA</w:t>
            </w:r>
          </w:p>
        </w:tc>
        <w:tc>
          <w:tcPr>
            <w:tcW w:type="dxa" w:w="3312"/>
          </w:tcPr>
          <w:p>
            <w:r>
              <w:t>Información confidencial compartida durante demostraciones y negociación.</w:t>
            </w:r>
          </w:p>
        </w:tc>
      </w:tr>
      <w:tr>
        <w:tc>
          <w:tcPr>
            <w:tcW w:type="dxa" w:w="3312"/>
          </w:tcPr>
          <w:p>
            <w:r>
              <w:t>6</w:t>
            </w:r>
          </w:p>
        </w:tc>
        <w:tc>
          <w:tcPr>
            <w:tcW w:type="dxa" w:w="3312"/>
          </w:tcPr>
          <w:p>
            <w:r>
              <w:t>Contrato de licencia</w:t>
            </w:r>
          </w:p>
        </w:tc>
        <w:tc>
          <w:tcPr>
            <w:tcW w:type="dxa" w:w="3312"/>
          </w:tcPr>
          <w:p>
            <w:r>
              <w:t>Usuarios/sedes autorizados, restricciones de uso, vigencia, soporte, garantías y terminación.</w:t>
            </w:r>
          </w:p>
        </w:tc>
      </w:tr>
      <w:tr>
        <w:tc>
          <w:tcPr>
            <w:tcW w:type="dxa" w:w="3312"/>
          </w:tcPr>
          <w:p>
            <w:r>
              <w:t>7</w:t>
            </w:r>
          </w:p>
        </w:tc>
        <w:tc>
          <w:tcPr>
            <w:tcW w:type="dxa" w:w="3312"/>
          </w:tcPr>
          <w:p>
            <w:r>
              <w:t>Anexo de soporte/SLA</w:t>
            </w:r>
          </w:p>
        </w:tc>
        <w:tc>
          <w:tcPr>
            <w:tcW w:type="dxa" w:w="3312"/>
          </w:tcPr>
          <w:p>
            <w:r>
              <w:t>Horario, canales, clasificación de incidentes y tiempos de respuesta.</w:t>
            </w:r>
          </w:p>
        </w:tc>
      </w:tr>
      <w:tr>
        <w:tc>
          <w:tcPr>
            <w:tcW w:type="dxa" w:w="3312"/>
          </w:tcPr>
          <w:p>
            <w:r>
              <w:t>8</w:t>
            </w:r>
          </w:p>
        </w:tc>
        <w:tc>
          <w:tcPr>
            <w:tcW w:type="dxa" w:w="3312"/>
          </w:tcPr>
          <w:p>
            <w:r>
              <w:t>Acta de aceptación e implementación</w:t>
            </w:r>
          </w:p>
        </w:tc>
        <w:tc>
          <w:tcPr>
            <w:tcW w:type="dxa" w:w="3312"/>
          </w:tcPr>
          <w:p>
            <w:r>
              <w:t>Sedes habilitadas, pruebas realizadas, pendientes y aprobación del cliente.</w:t>
            </w:r>
          </w:p>
        </w:tc>
      </w:tr>
    </w:tbl>
    <w:p>
      <w:pPr>
        <w:pStyle w:val="Heading1"/>
      </w:pPr>
      <w:r>
        <w:t>6. Cláusula propuesta: licencia y código fuente</w:t>
      </w:r>
    </w:p>
    <w:p>
      <w:r>
        <w:t>“El proveedor concede al cliente una licencia de uso no exclusiva e intransferible del sistema de inventario para las doce (12) sedes identificadas en el contrato, durante la vigencia pactada. La licencia no implica transferencia de la titularidad del software ni entrega del código fuente. Cualquier cesión de derechos patrimoniales, depósito de código en custodia o entrega de componentes fuente deberá constar en un acuerdo separado, con alcance, precio, condiciones de acceso y obligaciones de confidencialidad expresamente definidos.”</w:t>
      </w:r>
    </w:p>
    <w:p>
      <w:pPr>
        <w:pStyle w:val="Heading1"/>
      </w:pPr>
      <w:r>
        <w:t>7. Respuesta a la petición del código fuente</w:t>
      </w:r>
    </w:p>
    <w:p>
      <w:r>
        <w:t>Agradecemos la solicitud. La licencia propuesta permite operar el sistema en las 12 sedes y recibir soporte, pero el código fuente contiene componentes propios que forman parte de nuestra propiedad intelectual. Podemos revisar alternativas como depósito en custodia, acceso limitado para continuidad operativa o una cesión negociada por separado, siempre que se definan el alcance y el valor correspondiente.</w:t>
      </w:r>
    </w:p>
    <w:p>
      <w:pPr>
        <w:pStyle w:val="Heading1"/>
      </w:pPr>
      <w:r>
        <w:t>8. Objeciones y respuestas</w:t>
      </w:r>
    </w:p>
    <w:p>
      <w:pPr>
        <w:pStyle w:val="ListBullet"/>
      </w:pPr>
      <w:r>
        <w:t>“Otro proveedor da 25 % de descuento”: podemos comparar el costo total, el soporte, la implementación y los riesgos, y revisar el descuento condicionado a volumen y forma de pago.</w:t>
      </w:r>
    </w:p>
    <w:p>
      <w:pPr>
        <w:pStyle w:val="ListBullet"/>
      </w:pPr>
      <w:r>
        <w:t>“Necesitamos pagar a 90 días”: proponemos pagos por hitos para distribuir el desembolso y mantener la continuidad del proyecto.</w:t>
      </w:r>
    </w:p>
    <w:p>
      <w:pPr>
        <w:pStyle w:val="ListBullet"/>
      </w:pPr>
      <w:r>
        <w:t>“Sin código fuente no compramos”: podemos evaluar mecanismos de continuidad como custodia del código o una cesión negociada, sin incluirla gratuitamente.</w:t>
      </w:r>
    </w:p>
    <w:p>
      <w:pPr>
        <w:pStyle w:val="Heading1"/>
      </w:pPr>
      <w:r>
        <w:t>9. Conclusión</w:t>
      </w:r>
    </w:p>
    <w:p>
      <w:r>
        <w:t>La negociación debe equilibrar precio, recaudo y propiedad intelectual. El proveedor ofrece un descuento limitado y pagos por hitos, documenta el soporte y no transfiere automáticamente el código fuente.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