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NEGOCIACIÓN DE SOFTWARE: ACTIVIDADES Y ENTREGABLES</w:t>
      </w:r>
    </w:p>
    <w:p>
      <w:pPr>
        <w:jc w:val="center"/>
      </w:pPr>
      <w:r>
        <w:rPr>
          <w:b/>
          <w:sz w:val="26"/>
        </w:rPr>
        <w:t>DOCUMENTACIÓN DEL SECTOR PRIVADO – CASO 2: SUSCRIPCIÓN SaaS PARA IPS</w:t>
      </w:r>
    </w:p>
    <w:p>
      <w:r>
        <w:t>Empresa proveedora ficticia: Soluciones Digitales Andinas S.A.S.</w:t>
      </w:r>
    </w:p>
    <w:p>
      <w:r>
        <w:t>Actividad académica – Análisis y Desarrollo de Software, SENA</w:t>
      </w:r>
    </w:p>
    <w:p>
      <w:r>
        <w:t>Nota: Los nombres, cifras y condiciones propuestos son ficticios y se usan únicamente con fines académicos.</w:t>
      </w:r>
    </w:p>
    <w:p>
      <w:pPr>
        <w:pStyle w:val="Heading1"/>
      </w:pPr>
      <w:r>
        <w:t>1. Situación del caso</w:t>
      </w:r>
    </w:p>
    <w:p>
      <w:r>
        <w:t>Una IPS mediana desea contratar como SaaS una plataforma de historias clínicas. Exige disponibilidad del 99,9 %, penalidades altas y servidores ubicados en Colombia. La negociación debe aclarar responsabilidades sobre datos personales y sensibles, seguridad, disponibilidad y límites de responsabilidad.</w:t>
      </w:r>
    </w:p>
    <w:p>
      <w:pPr>
        <w:pStyle w:val="Heading1"/>
      </w:pPr>
      <w:r>
        <w:t>2. Análisis de la contraparte y datos</w:t>
      </w:r>
    </w:p>
    <w:p>
      <w:pPr>
        <w:pStyle w:val="ListBullet"/>
      </w:pPr>
      <w:r>
        <w:t>Cliente: IPS privada que trata información de pacientes.</w:t>
      </w:r>
    </w:p>
    <w:p>
      <w:pPr>
        <w:pStyle w:val="ListBullet"/>
      </w:pPr>
      <w:r>
        <w:t>Necesidad: acceder a la plataforma de historias clínicas de forma segura y continua.</w:t>
      </w:r>
    </w:p>
    <w:p>
      <w:pPr>
        <w:pStyle w:val="ListBullet"/>
      </w:pPr>
      <w:r>
        <w:t>Responsable del tratamiento: normalmente la IPS, que determina las finalidades y medios del tratamiento de los datos de sus pacientes.</w:t>
      </w:r>
    </w:p>
    <w:p>
      <w:pPr>
        <w:pStyle w:val="ListBullet"/>
      </w:pPr>
      <w:r>
        <w:t>Encargado del tratamiento: el proveedor SaaS, cuando procesa datos siguiendo instrucciones documentadas de la IPS.</w:t>
      </w:r>
    </w:p>
    <w:p>
      <w:pPr>
        <w:pStyle w:val="ListBullet"/>
      </w:pPr>
      <w:r>
        <w:t>Datos involucrados: identificación, contacto, antecedentes, diagnósticos, tratamientos y otra información clínica, que puede ser sensible.</w:t>
      </w:r>
    </w:p>
    <w:p>
      <w:pPr>
        <w:pStyle w:val="ListBullet"/>
      </w:pPr>
      <w:r>
        <w:t>Riesgos: acceso no autorizado, indisponibilidad, pérdida de datos, subencargados no declarados y promesas de disponibilidad que no dependan completamente del proveedor.</w:t>
      </w:r>
    </w:p>
    <w:p>
      <w:pPr>
        <w:pStyle w:val="Heading1"/>
      </w:pPr>
      <w:r>
        <w:t>3. Propuesta de SLA realista</w:t>
      </w:r>
    </w:p>
    <w:tbl>
      <w:tblPr>
        <w:tblStyle w:val="TableGrid"/>
        <w:tblW w:type="auto" w:w="0"/>
        <w:tblLook w:firstColumn="1" w:firstRow="1" w:lastColumn="0" w:lastRow="0" w:noHBand="0" w:noVBand="1" w:val="04A0"/>
      </w:tblPr>
      <w:tblGrid>
        <w:gridCol w:w="4968"/>
        <w:gridCol w:w="4968"/>
      </w:tblGrid>
      <w:tr>
        <w:tc>
          <w:tcPr>
            <w:tcW w:type="dxa" w:w="4968"/>
          </w:tcPr>
          <w:p>
            <w:r>
              <w:t>Elemento</w:t>
            </w:r>
          </w:p>
        </w:tc>
        <w:tc>
          <w:tcPr>
            <w:tcW w:type="dxa" w:w="4968"/>
          </w:tcPr>
          <w:p>
            <w:r>
              <w:t>Propuesta</w:t>
            </w:r>
          </w:p>
        </w:tc>
      </w:tr>
      <w:tr>
        <w:tc>
          <w:tcPr>
            <w:tcW w:type="dxa" w:w="4968"/>
          </w:tcPr>
          <w:p>
            <w:r>
              <w:t>Disponibilidad</w:t>
            </w:r>
          </w:p>
        </w:tc>
        <w:tc>
          <w:tcPr>
            <w:tcW w:type="dxa" w:w="4968"/>
          </w:tcPr>
          <w:p>
            <w:r>
              <w:t>Objetivo mensual del 99,9 %, medido sobre el servicio productivo, con exclusiones claramente definidas.</w:t>
            </w:r>
          </w:p>
        </w:tc>
      </w:tr>
      <w:tr>
        <w:tc>
          <w:tcPr>
            <w:tcW w:type="dxa" w:w="4968"/>
          </w:tcPr>
          <w:p>
            <w:r>
              <w:t>Mantenimiento</w:t>
            </w:r>
          </w:p>
        </w:tc>
        <w:tc>
          <w:tcPr>
            <w:tcW w:type="dxa" w:w="4968"/>
          </w:tcPr>
          <w:p>
            <w:r>
              <w:t>Ventanas programadas notificadas con anticipación; excluirlas del cálculo si así se pacta.</w:t>
            </w:r>
          </w:p>
        </w:tc>
      </w:tr>
      <w:tr>
        <w:tc>
          <w:tcPr>
            <w:tcW w:type="dxa" w:w="4968"/>
          </w:tcPr>
          <w:p>
            <w:r>
              <w:t>Incidente crítico</w:t>
            </w:r>
          </w:p>
        </w:tc>
        <w:tc>
          <w:tcPr>
            <w:tcW w:type="dxa" w:w="4968"/>
          </w:tcPr>
          <w:p>
            <w:r>
              <w:t>Confirmación de recepción en 30 minutos y actualización periódica; objetivo de restauración según severidad y plan técnico acordado.</w:t>
            </w:r>
          </w:p>
        </w:tc>
      </w:tr>
      <w:tr>
        <w:tc>
          <w:tcPr>
            <w:tcW w:type="dxa" w:w="4968"/>
          </w:tcPr>
          <w:p>
            <w:r>
              <w:t>Incidente alto</w:t>
            </w:r>
          </w:p>
        </w:tc>
        <w:tc>
          <w:tcPr>
            <w:tcW w:type="dxa" w:w="4968"/>
          </w:tcPr>
          <w:p>
            <w:r>
              <w:t>Respuesta inicial en 2 horas hábiles y seguimiento hasta su solución o mitigación.</w:t>
            </w:r>
          </w:p>
        </w:tc>
      </w:tr>
      <w:tr>
        <w:tc>
          <w:tcPr>
            <w:tcW w:type="dxa" w:w="4968"/>
          </w:tcPr>
          <w:p>
            <w:r>
              <w:t>Respaldos</w:t>
            </w:r>
          </w:p>
        </w:tc>
        <w:tc>
          <w:tcPr>
            <w:tcW w:type="dxa" w:w="4968"/>
          </w:tcPr>
          <w:p>
            <w:r>
              <w:t>Frecuencia, retención, pruebas de restauración, RPO y RTO definidos en el anexo técnico.</w:t>
            </w:r>
          </w:p>
        </w:tc>
      </w:tr>
      <w:tr>
        <w:tc>
          <w:tcPr>
            <w:tcW w:type="dxa" w:w="4968"/>
          </w:tcPr>
          <w:p>
            <w:r>
              <w:t>Créditos de servicio</w:t>
            </w:r>
          </w:p>
        </w:tc>
        <w:tc>
          <w:tcPr>
            <w:tcW w:type="dxa" w:w="4968"/>
          </w:tcPr>
          <w:p>
            <w:r>
              <w:t>Créditos sobre la mensualidad afectada, con tope mensual —por ejemplo, 10 %— y sin convertirlos automáticamente en indemnización ilimitada.</w:t>
            </w:r>
          </w:p>
        </w:tc>
      </w:tr>
      <w:tr>
        <w:tc>
          <w:tcPr>
            <w:tcW w:type="dxa" w:w="4968"/>
          </w:tcPr>
          <w:p>
            <w:r>
              <w:t>Exclusiones</w:t>
            </w:r>
          </w:p>
        </w:tc>
        <w:tc>
          <w:tcPr>
            <w:tcW w:type="dxa" w:w="4968"/>
          </w:tcPr>
          <w:p>
            <w:r>
              <w:t>Fallas causadas por conectividad del cliente, terceros fuera del control razonable del proveedor, uso indebido o fuerza mayor, según definición contractual.</w:t>
            </w:r>
          </w:p>
        </w:tc>
      </w:tr>
    </w:tbl>
    <w:p>
      <w:pPr>
        <w:pStyle w:val="Heading1"/>
      </w:pPr>
      <w:r>
        <w:t>4. Plan de concesiones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Petición</w:t>
            </w:r>
          </w:p>
        </w:tc>
        <w:tc>
          <w:tcPr>
            <w:tcW w:type="dxa" w:w="2484"/>
          </w:tcPr>
          <w:p>
            <w:r>
              <w:t>Concesión posible</w:t>
            </w:r>
          </w:p>
        </w:tc>
        <w:tc>
          <w:tcPr>
            <w:tcW w:type="dxa" w:w="2484"/>
          </w:tcPr>
          <w:p>
            <w:r>
              <w:t>A cambio de</w:t>
            </w:r>
          </w:p>
        </w:tc>
        <w:tc>
          <w:tcPr>
            <w:tcW w:type="dxa" w:w="2484"/>
          </w:tcPr>
          <w:p>
            <w:r>
              <w:t>Límite</w:t>
            </w:r>
          </w:p>
        </w:tc>
      </w:tr>
      <w:tr>
        <w:tc>
          <w:tcPr>
            <w:tcW w:type="dxa" w:w="2484"/>
          </w:tcPr>
          <w:p>
            <w:r>
              <w:t>99,9 % de disponibilidad</w:t>
            </w:r>
          </w:p>
        </w:tc>
        <w:tc>
          <w:tcPr>
            <w:tcW w:type="dxa" w:w="2484"/>
          </w:tcPr>
          <w:p>
            <w:r>
              <w:t>Aceptar meta mensual del 99,9 % después de validar arquitectura y dependencias.</w:t>
            </w:r>
          </w:p>
        </w:tc>
        <w:tc>
          <w:tcPr>
            <w:tcW w:type="dxa" w:w="2484"/>
          </w:tcPr>
          <w:p>
            <w:r>
              <w:t>Contrato de plazo mínimo y condiciones de uso claras.</w:t>
            </w:r>
          </w:p>
        </w:tc>
        <w:tc>
          <w:tcPr>
            <w:tcW w:type="dxa" w:w="2484"/>
          </w:tcPr>
          <w:p>
            <w:r>
              <w:t>No garantizar factores externos no controlados.</w:t>
            </w:r>
          </w:p>
        </w:tc>
      </w:tr>
      <w:tr>
        <w:tc>
          <w:tcPr>
            <w:tcW w:type="dxa" w:w="2484"/>
          </w:tcPr>
          <w:p>
            <w:r>
              <w:t>Penalidades altas</w:t>
            </w:r>
          </w:p>
        </w:tc>
        <w:tc>
          <w:tcPr>
            <w:tcW w:type="dxa" w:w="2484"/>
          </w:tcPr>
          <w:p>
            <w:r>
              <w:t>Créditos de servicio escalonados y con tope mensual.</w:t>
            </w:r>
          </w:p>
        </w:tc>
        <w:tc>
          <w:tcPr>
            <w:tcW w:type="dxa" w:w="2484"/>
          </w:tcPr>
          <w:p>
            <w:r>
              <w:t>Que sean remedio económico principal por incumplimiento de disponibilidad, salvo excepciones legales acordadas.</w:t>
            </w:r>
          </w:p>
        </w:tc>
        <w:tc>
          <w:tcPr>
            <w:tcW w:type="dxa" w:w="2484"/>
          </w:tcPr>
          <w:p>
            <w:r>
              <w:t>No aceptar penalidades ilimitadas o acumulativas sin límite.</w:t>
            </w:r>
          </w:p>
        </w:tc>
      </w:tr>
      <w:tr>
        <w:tc>
          <w:tcPr>
            <w:tcW w:type="dxa" w:w="2484"/>
          </w:tcPr>
          <w:p>
            <w:r>
              <w:t>Servidores en Colombia</w:t>
            </w:r>
          </w:p>
        </w:tc>
        <w:tc>
          <w:tcPr>
            <w:tcW w:type="dxa" w:w="2484"/>
          </w:tcPr>
          <w:p>
            <w:r>
              <w:t>Ofrecer región colombiana si la infraestructura contratada lo permite y se documenta.</w:t>
            </w:r>
          </w:p>
        </w:tc>
        <w:tc>
          <w:tcPr>
            <w:tcW w:type="dxa" w:w="2484"/>
          </w:tcPr>
          <w:p>
            <w:r>
              <w:t>Aceptación del precio asociado y del listado de subencargados.</w:t>
            </w:r>
          </w:p>
        </w:tc>
        <w:tc>
          <w:tcPr>
            <w:tcW w:type="dxa" w:w="2484"/>
          </w:tcPr>
          <w:p>
            <w:r>
              <w:t>No prometer ubicación si el proveedor de nube no la garantiza contractualmente.</w:t>
            </w:r>
          </w:p>
        </w:tc>
      </w:tr>
      <w:tr>
        <w:tc>
          <w:tcPr>
            <w:tcW w:type="dxa" w:w="2484"/>
          </w:tcPr>
          <w:p>
            <w:r>
              <w:t>Mayor seguridad</w:t>
            </w:r>
          </w:p>
        </w:tc>
        <w:tc>
          <w:tcPr>
            <w:tcW w:type="dxa" w:w="2484"/>
          </w:tcPr>
          <w:p>
            <w:r>
              <w:t>Incluir MFA, roles, cifrado, registros de auditoría y procedimiento de incidentes según alcance.</w:t>
            </w:r>
          </w:p>
        </w:tc>
        <w:tc>
          <w:tcPr>
            <w:tcW w:type="dxa" w:w="2484"/>
          </w:tcPr>
          <w:p>
            <w:r>
              <w:t>Definir responsables, contactos y obligaciones de la IPS.</w:t>
            </w:r>
          </w:p>
        </w:tc>
        <w:tc>
          <w:tcPr>
            <w:tcW w:type="dxa" w:w="2484"/>
          </w:tcPr>
          <w:p>
            <w:r>
              <w:t>Controles adicionales, auditorías especiales o desarrollos nuevos se cotizan aparte.</w:t>
            </w:r>
          </w:p>
        </w:tc>
      </w:tr>
    </w:tbl>
    <w:p>
      <w:pPr>
        <w:pStyle w:val="Heading1"/>
      </w:pPr>
      <w:r>
        <w:t>5. Documentos priorizados</w:t>
      </w:r>
    </w:p>
    <w:tbl>
      <w:tblPr>
        <w:tblStyle w:val="TableGrid"/>
        <w:tblW w:type="auto" w:w="0"/>
        <w:tblLook w:firstColumn="1" w:firstRow="1" w:lastColumn="0" w:lastRow="0" w:noHBand="0" w:noVBand="1" w:val="04A0"/>
      </w:tblPr>
      <w:tblGrid>
        <w:gridCol w:w="3312"/>
        <w:gridCol w:w="3312"/>
        <w:gridCol w:w="3312"/>
      </w:tblGrid>
      <w:tr>
        <w:tc>
          <w:tcPr>
            <w:tcW w:type="dxa" w:w="3312"/>
          </w:tcPr>
          <w:p>
            <w:r>
              <w:t>Prioridad</w:t>
            </w:r>
          </w:p>
        </w:tc>
        <w:tc>
          <w:tcPr>
            <w:tcW w:type="dxa" w:w="3312"/>
          </w:tcPr>
          <w:p>
            <w:r>
              <w:t>Documento</w:t>
            </w:r>
          </w:p>
        </w:tc>
        <w:tc>
          <w:tcPr>
            <w:tcW w:type="dxa" w:w="3312"/>
          </w:tcPr>
          <w:p>
            <w:r>
              <w:t>Contenido principal</w:t>
            </w:r>
          </w:p>
        </w:tc>
      </w:tr>
      <w:tr>
        <w:tc>
          <w:tcPr>
            <w:tcW w:type="dxa" w:w="3312"/>
          </w:tcPr>
          <w:p>
            <w:r>
              <w:t>1</w:t>
            </w:r>
          </w:p>
        </w:tc>
        <w:tc>
          <w:tcPr>
            <w:tcW w:type="dxa" w:w="3312"/>
          </w:tcPr>
          <w:p>
            <w:r>
              <w:t>Propuesta SaaS y modelo de precios/TCO</w:t>
            </w:r>
          </w:p>
        </w:tc>
        <w:tc>
          <w:tcPr>
            <w:tcW w:type="dxa" w:w="3312"/>
          </w:tcPr>
          <w:p>
            <w:r>
              <w:t>Tarifa de suscripción, implementación, almacenamiento, capacitación, soporte y crecimiento.</w:t>
            </w:r>
          </w:p>
        </w:tc>
      </w:tr>
      <w:tr>
        <w:tc>
          <w:tcPr>
            <w:tcW w:type="dxa" w:w="3312"/>
          </w:tcPr>
          <w:p>
            <w:r>
              <w:t>2</w:t>
            </w:r>
          </w:p>
        </w:tc>
        <w:tc>
          <w:tcPr>
            <w:tcW w:type="dxa" w:w="3312"/>
          </w:tcPr>
          <w:p>
            <w:r>
              <w:t>Contrato de suscripción SaaS</w:t>
            </w:r>
          </w:p>
        </w:tc>
        <w:tc>
          <w:tcPr>
            <w:tcW w:type="dxa" w:w="3312"/>
          </w:tcPr>
          <w:p>
            <w:r>
              <w:t>Servicio, usuarios, vigencia, pagos, terminación, garantías y responsabilidades.</w:t>
            </w:r>
          </w:p>
        </w:tc>
      </w:tr>
      <w:tr>
        <w:tc>
          <w:tcPr>
            <w:tcW w:type="dxa" w:w="3312"/>
          </w:tcPr>
          <w:p>
            <w:r>
              <w:t>3</w:t>
            </w:r>
          </w:p>
        </w:tc>
        <w:tc>
          <w:tcPr>
            <w:tcW w:type="dxa" w:w="3312"/>
          </w:tcPr>
          <w:p>
            <w:r>
              <w:t>SLA</w:t>
            </w:r>
          </w:p>
        </w:tc>
        <w:tc>
          <w:tcPr>
            <w:tcW w:type="dxa" w:w="3312"/>
          </w:tcPr>
          <w:p>
            <w:r>
              <w:t>Disponibilidad, medición, mantenimiento, severidades, respuesta, restauración y créditos topados.</w:t>
            </w:r>
          </w:p>
        </w:tc>
      </w:tr>
      <w:tr>
        <w:tc>
          <w:tcPr>
            <w:tcW w:type="dxa" w:w="3312"/>
          </w:tcPr>
          <w:p>
            <w:r>
              <w:t>4</w:t>
            </w:r>
          </w:p>
        </w:tc>
        <w:tc>
          <w:tcPr>
            <w:tcW w:type="dxa" w:w="3312"/>
          </w:tcPr>
          <w:p>
            <w:r>
              <w:t>Anexo de tratamiento de datos (DPA)</w:t>
            </w:r>
          </w:p>
        </w:tc>
        <w:tc>
          <w:tcPr>
            <w:tcW w:type="dxa" w:w="3312"/>
          </w:tcPr>
          <w:p>
            <w:r>
              <w:t>Roles, instrucciones, finalidad, confidencialidad, subencargados, asistencia, devolución/eliminación y gestión de incidentes.</w:t>
            </w:r>
          </w:p>
        </w:tc>
      </w:tr>
      <w:tr>
        <w:tc>
          <w:tcPr>
            <w:tcW w:type="dxa" w:w="3312"/>
          </w:tcPr>
          <w:p>
            <w:r>
              <w:t>5</w:t>
            </w:r>
          </w:p>
        </w:tc>
        <w:tc>
          <w:tcPr>
            <w:tcW w:type="dxa" w:w="3312"/>
          </w:tcPr>
          <w:p>
            <w:r>
              <w:t>Ficha técnica y de seguridad</w:t>
            </w:r>
          </w:p>
        </w:tc>
        <w:tc>
          <w:tcPr>
            <w:tcW w:type="dxa" w:w="3312"/>
          </w:tcPr>
          <w:p>
            <w:r>
              <w:t>Cifrado, autenticación, permisos, auditoría, respaldos, RTO/RPO, ubicación de datos y subencargados.</w:t>
            </w:r>
          </w:p>
        </w:tc>
      </w:tr>
      <w:tr>
        <w:tc>
          <w:tcPr>
            <w:tcW w:type="dxa" w:w="3312"/>
          </w:tcPr>
          <w:p>
            <w:r>
              <w:t>6</w:t>
            </w:r>
          </w:p>
        </w:tc>
        <w:tc>
          <w:tcPr>
            <w:tcW w:type="dxa" w:w="3312"/>
          </w:tcPr>
          <w:p>
            <w:r>
              <w:t>Plan de respuesta a incidentes</w:t>
            </w:r>
          </w:p>
        </w:tc>
        <w:tc>
          <w:tcPr>
            <w:tcW w:type="dxa" w:w="3312"/>
          </w:tcPr>
          <w:p>
            <w:r>
              <w:t>Canales de notificación, responsables, investigación, contención y recuperación.</w:t>
            </w:r>
          </w:p>
        </w:tc>
      </w:tr>
      <w:tr>
        <w:tc>
          <w:tcPr>
            <w:tcW w:type="dxa" w:w="3312"/>
          </w:tcPr>
          <w:p>
            <w:r>
              <w:t>7</w:t>
            </w:r>
          </w:p>
        </w:tc>
        <w:tc>
          <w:tcPr>
            <w:tcW w:type="dxa" w:w="3312"/>
          </w:tcPr>
          <w:p>
            <w:r>
              <w:t>Plan de continuidad y recuperación</w:t>
            </w:r>
          </w:p>
        </w:tc>
        <w:tc>
          <w:tcPr>
            <w:tcW w:type="dxa" w:w="3312"/>
          </w:tcPr>
          <w:p>
            <w:r>
              <w:t>Copias de seguridad, recuperación ante desastres y pruebas.</w:t>
            </w:r>
          </w:p>
        </w:tc>
      </w:tr>
      <w:tr>
        <w:tc>
          <w:tcPr>
            <w:tcW w:type="dxa" w:w="3312"/>
          </w:tcPr>
          <w:p>
            <w:r>
              <w:t>8</w:t>
            </w:r>
          </w:p>
        </w:tc>
        <w:tc>
          <w:tcPr>
            <w:tcW w:type="dxa" w:w="3312"/>
          </w:tcPr>
          <w:p>
            <w:r>
              <w:t>NDA</w:t>
            </w:r>
          </w:p>
        </w:tc>
        <w:tc>
          <w:tcPr>
            <w:tcW w:type="dxa" w:w="3312"/>
          </w:tcPr>
          <w:p>
            <w:r>
              <w:t>Protección de información compartida antes de firmar el contrato.</w:t>
            </w:r>
          </w:p>
        </w:tc>
      </w:tr>
    </w:tbl>
    <w:p>
      <w:pPr>
        <w:pStyle w:val="Heading1"/>
      </w:pPr>
      <w:r>
        <w:t>6. Cláusula propuesta: disponibilidad y créditos</w:t>
      </w:r>
    </w:p>
    <w:p>
      <w:r>
        <w:t>“El proveedor procurará una disponibilidad mensual del 99,9 % del servicio productivo, calculada conforme a la metodología descrita en el SLA. En caso de incumplimiento atribuible al proveedor, el cliente podrá solicitar créditos de servicio calculados sobre la tarifa mensual del servicio afectado, hasta un máximo del 10 % de dicha tarifa en el mes correspondiente. Las ventanas de mantenimiento notificadas y las exclusiones expresamente definidas en el SLA no se computarán como indisponibilidad. Los créditos no eximen a las partes de las obligaciones de seguridad, confidencialidad y protección de datos pactadas.”</w:t>
      </w:r>
    </w:p>
    <w:p>
      <w:pPr>
        <w:pStyle w:val="Heading1"/>
      </w:pPr>
      <w:r>
        <w:t>7. Resumen del anexo de datos y seguridad</w:t>
      </w:r>
    </w:p>
    <w:p>
      <w:pPr>
        <w:pStyle w:val="ListBullet"/>
      </w:pPr>
      <w:r>
        <w:t>La IPS define las finalidades del tratamiento y documenta las instrucciones al proveedor.</w:t>
      </w:r>
    </w:p>
    <w:p>
      <w:pPr>
        <w:pStyle w:val="ListBullet"/>
      </w:pPr>
      <w:r>
        <w:t>El proveedor accede y trata los datos únicamente para prestar el servicio contratado.</w:t>
      </w:r>
    </w:p>
    <w:p>
      <w:pPr>
        <w:pStyle w:val="ListBullet"/>
      </w:pPr>
      <w:r>
        <w:t>Se limita el acceso por funciones y se exige autenticación reforzada para cuentas privilegiadas.</w:t>
      </w:r>
    </w:p>
    <w:p>
      <w:pPr>
        <w:pStyle w:val="ListBullet"/>
      </w:pPr>
      <w:r>
        <w:t>Se documentan cifrado en tránsito y en reposo, registros de auditoría y copias de seguridad.</w:t>
      </w:r>
    </w:p>
    <w:p>
      <w:pPr>
        <w:pStyle w:val="ListBullet"/>
      </w:pPr>
      <w:r>
        <w:t>Los subencargados y la ubicación de los datos se identifican en el anexo y cualquier cambio se gestiona según el procedimiento acordado.</w:t>
      </w:r>
    </w:p>
    <w:p>
      <w:pPr>
        <w:pStyle w:val="ListBullet"/>
      </w:pPr>
      <w:r>
        <w:t>Se establece un proceso para reportar incidentes sin demoras indebidas, investigar, contener y apoyar a la IPS.</w:t>
      </w:r>
    </w:p>
    <w:p>
      <w:pPr>
        <w:pStyle w:val="ListBullet"/>
      </w:pPr>
      <w:r>
        <w:t>Al terminar el contrato se acuerda exportación, devolución o eliminación segura de los datos, sujeto a obligaciones legales aplicables.</w:t>
      </w:r>
    </w:p>
    <w:p>
      <w:pPr>
        <w:pStyle w:val="Heading1"/>
      </w:pPr>
      <w:r>
        <w:t>8. Objeciones y respuestas</w:t>
      </w:r>
    </w:p>
    <w:p>
      <w:pPr>
        <w:pStyle w:val="ListBullet"/>
      </w:pPr>
      <w:r>
        <w:t>“Necesitamos penalidades sin límite”: proponemos créditos proporcionales y topados, porque una responsabilidad ilimitada puede hacer inviable el servicio y no sustituye un plan de continuidad.</w:t>
      </w:r>
    </w:p>
    <w:p>
      <w:pPr>
        <w:pStyle w:val="ListBullet"/>
      </w:pPr>
      <w:r>
        <w:t>“Todo debe estar en Colombia”: confirmaremos la región disponible y documentaremos ubicación y subencargados antes de comprometernos.</w:t>
      </w:r>
    </w:p>
    <w:p>
      <w:pPr>
        <w:pStyle w:val="ListBullet"/>
      </w:pPr>
      <w:r>
        <w:t>“Ustedes responden por todos los datos”: cada parte debe cumplir las obligaciones que le corresponden según su rol, control y contrato.</w:t>
      </w:r>
    </w:p>
    <w:p>
      <w:pPr>
        <w:pStyle w:val="Heading1"/>
      </w:pPr>
      <w:r>
        <w:t>9. Conclusión</w:t>
      </w:r>
    </w:p>
    <w:p>
      <w:r>
        <w:t>La contratación SaaS requiere una definición precisa del SLA y de los roles en el tratamiento de datos. La propuesta debe describir controles verificables y evitar promesas absolutas sobre disponibilidad o seguridad.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