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NEGOCIACIÓN DE SOFTWARE:</w:t>
        <w:br/>
        <w:t>CASO 2. SUSCRIPCIÓN SaaS PARA UNA IPS PRIVADA</w:t>
      </w:r>
    </w:p>
    <w:p>
      <w:pPr>
        <w:jc w:val="center"/>
      </w:pPr>
      <w:r>
        <w:rPr>
          <w:b/>
        </w:rPr>
        <w:t>Soluciones Digitales Andinas S.A.S.</w:t>
      </w:r>
    </w:p>
    <w:p>
      <w:r>
        <w:t>Actividad académica – Análisis y Desarrollo de Software, SENA</w:t>
      </w:r>
    </w:p>
    <w:p>
      <w:r>
        <w:t>Aprendiz: ______________________________</w:t>
      </w:r>
    </w:p>
    <w:p>
      <w:r>
        <w:t>Fecha: ______________________________</w:t>
      </w:r>
    </w:p>
    <w:p>
      <w:r>
        <w:t>Nota: los escenarios, nombres y valores son ficticios y se presentan con fines educativos.</w:t>
      </w:r>
    </w:p>
    <w:p>
      <w:r>
        <w:br w:type="page"/>
      </w:r>
    </w:p>
    <w:sectPr w:rsidR="00FC693F" w:rsidRPr="0006063C" w:rsidSect="00034616">
      <w:footerReference w:type="default" r:id="rId9"/>
      <w:pgSz w:w="12240" w:h="15840"/>
      <w:pgMar w:top="1008" w:right="1152" w:bottom="1008" w:left="1152" w:header="720" w:footer="720" w:gutter="0"/>
      <w:cols w:space="720"/>
      <w:docGrid w:linePitch="360"/>
    </w:sectPr>
    <w:p>
      <w:pPr>
        <w:pStyle w:val="Heading1"/>
      </w:pPr>
      <w:r>
        <w:t>CASO 2. SUSCRIPCIÓN SaaS PARA UNA IPS PRIVADA</w:t>
      </w:r>
    </w:p>
    <w:p>
      <w:pPr>
        <w:pStyle w:val="Heading2"/>
      </w:pPr>
      <w:r>
        <w:t>2.1. Situación</w:t>
      </w:r>
    </w:p>
    <w:p>
      <w:r>
        <w:t>La IPS ficticia Salud Integral del Valle necesita una plataforma en la nube para administrar historias clínicas y citas. Solicita disponibilidad del 99,9 %, penalidades elevadas y que los servidores estén ubicados en Colombia. Como se tratarán datos sensibles de salud, la negociación debe priorizar seguridad, privacidad, continuidad y compromisos de servicio realistas.</w:t>
      </w:r>
    </w:p>
    <w:p>
      <w:pPr>
        <w:pStyle w:val="Heading2"/>
      </w:pPr>
      <w:r>
        <w:t>2.2. Responsable, encargado y datos sensibles</w:t>
      </w:r>
    </w:p>
    <w:p>
      <w:pPr>
        <w:pStyle w:val="ListBullet"/>
      </w:pPr>
      <w:r>
        <w:t>Responsable del tratamiento: la IPS, porque determina las finalidades y los usos de los datos de sus pacientes.</w:t>
      </w:r>
    </w:p>
    <w:p>
      <w:pPr>
        <w:pStyle w:val="ListBullet"/>
      </w:pPr>
      <w:r>
        <w:t>Encargado del tratamiento: Soluciones Digitales Andinas S.A.S., en la medida en que trate datos por cuenta e instrucciones de la IPS.</w:t>
      </w:r>
    </w:p>
    <w:p>
      <w:pPr>
        <w:pStyle w:val="ListBullet"/>
      </w:pPr>
      <w:r>
        <w:t>Datos tratados: identificación, contacto, citas, antecedentes, diagnósticos, tratamientos y otra información clínica necesaria.</w:t>
      </w:r>
    </w:p>
    <w:p>
      <w:pPr>
        <w:pStyle w:val="ListBullet"/>
      </w:pPr>
      <w:r>
        <w:t>Datos sensibles: información relacionada con la salud de los pacientes.</w:t>
      </w:r>
    </w:p>
    <w:p>
      <w:pPr>
        <w:pStyle w:val="ListBullet"/>
      </w:pPr>
      <w:r>
        <w:t>Obligaciones: limitar el uso a la finalidad acordada, aplicar controles de acceso, registrar eventos, proteger respaldos y reportar incidentes conforme al contrato y la normativa aplicable.</w:t>
      </w:r>
    </w:p>
    <w:p>
      <w:pPr>
        <w:pStyle w:val="Heading2"/>
      </w:pPr>
      <w:r>
        <w:t>2.3. Propuesta de precios y SLA</w:t>
      </w:r>
    </w:p>
    <w:tbl>
      <w:tblPr>
        <w:tblStyle w:val="TableGrid"/>
        <w:tblW w:type="auto" w:w="0"/>
        <w:tblLook w:firstColumn="1" w:firstRow="1" w:lastColumn="0" w:lastRow="0" w:noHBand="0" w:noVBand="1" w:val="04A0"/>
      </w:tblPr>
      <w:tblGrid>
        <w:gridCol w:w="4968"/>
        <w:gridCol w:w="4968"/>
      </w:tblGrid>
      <w:tr>
        <w:tc>
          <w:tcPr>
            <w:tcW w:type="dxa" w:w="4968"/>
          </w:tcPr>
          <w:p>
            <w:r>
              <w:rPr>
                <w:b/>
              </w:rPr>
              <w:t>Elemento</w:t>
            </w:r>
          </w:p>
        </w:tc>
        <w:tc>
          <w:tcPr>
            <w:tcW w:type="dxa" w:w="4968"/>
          </w:tcPr>
          <w:p>
            <w:r>
              <w:rPr>
                <w:b/>
              </w:rPr>
              <w:t>Propuesta inicial</w:t>
            </w:r>
          </w:p>
        </w:tc>
      </w:tr>
      <w:tr>
        <w:tc>
          <w:tcPr>
            <w:tcW w:type="dxa" w:w="4968"/>
          </w:tcPr>
          <w:p>
            <w:r>
              <w:t>Implementación y configuración</w:t>
            </w:r>
          </w:p>
        </w:tc>
        <w:tc>
          <w:tcPr>
            <w:tcW w:type="dxa" w:w="4968"/>
          </w:tcPr>
          <w:p>
            <w:r>
              <w:t>COP $12.000.000, pago único.</w:t>
            </w:r>
          </w:p>
        </w:tc>
      </w:tr>
      <w:tr>
        <w:tc>
          <w:tcPr>
            <w:tcW w:type="dxa" w:w="4968"/>
          </w:tcPr>
          <w:p>
            <w:r>
              <w:t>Suscripción mensual</w:t>
            </w:r>
          </w:p>
        </w:tc>
        <w:tc>
          <w:tcPr>
            <w:tcW w:type="dxa" w:w="4968"/>
          </w:tcPr>
          <w:p>
            <w:r>
              <w:t>COP $3.000.000 por mes, hasta el volumen de usuarios acordado.</w:t>
            </w:r>
          </w:p>
        </w:tc>
      </w:tr>
      <w:tr>
        <w:tc>
          <w:tcPr>
            <w:tcW w:type="dxa" w:w="4968"/>
          </w:tcPr>
          <w:p>
            <w:r>
              <w:t>Disponibilidad objetivo</w:t>
            </w:r>
          </w:p>
        </w:tc>
        <w:tc>
          <w:tcPr>
            <w:tcW w:type="dxa" w:w="4968"/>
          </w:tcPr>
          <w:p>
            <w:r>
              <w:t>99,5 % mensual, sujeto a medición y exclusiones contractuales; 99,9 % se evaluaría tras validación técnica y de infraestructura.</w:t>
            </w:r>
          </w:p>
        </w:tc>
      </w:tr>
      <w:tr>
        <w:tc>
          <w:tcPr>
            <w:tcW w:type="dxa" w:w="4968"/>
          </w:tcPr>
          <w:p>
            <w:r>
              <w:t>Soporte crítico</w:t>
            </w:r>
          </w:p>
        </w:tc>
        <w:tc>
          <w:tcPr>
            <w:tcW w:type="dxa" w:w="4968"/>
          </w:tcPr>
          <w:p>
            <w:r>
              <w:t>Atención inicial en 1 hora, 24/7 para incidentes críticos.</w:t>
            </w:r>
          </w:p>
        </w:tc>
      </w:tr>
      <w:tr>
        <w:tc>
          <w:tcPr>
            <w:tcW w:type="dxa" w:w="4968"/>
          </w:tcPr>
          <w:p>
            <w:r>
              <w:t>Crédito de servicio</w:t>
            </w:r>
          </w:p>
        </w:tc>
        <w:tc>
          <w:tcPr>
            <w:tcW w:type="dxa" w:w="4968"/>
          </w:tcPr>
          <w:p>
            <w:r>
              <w:t>Crédito máximo del 10 % de la tarifa mensual afectada; remedio contractual sujeto a condiciones del SLA.</w:t>
            </w:r>
          </w:p>
        </w:tc>
      </w:tr>
      <w:tr>
        <w:tc>
          <w:tcPr>
            <w:tcW w:type="dxa" w:w="4968"/>
          </w:tcPr>
          <w:p>
            <w:r>
              <w:t>Ubicación de datos</w:t>
            </w:r>
          </w:p>
        </w:tc>
        <w:tc>
          <w:tcPr>
            <w:tcW w:type="dxa" w:w="4968"/>
          </w:tcPr>
          <w:p>
            <w:r>
              <w:t>Confirmar por escrito región de alojamiento, copias de respaldo y subencargados antes de contratar.</w:t>
            </w:r>
          </w:p>
        </w:tc>
      </w:tr>
    </w:tbl>
    <w:p/>
    <w:p>
      <w:r>
        <w:t>La disponibilidad del 99,9 % equivale a un margen de indisponibilidad mensual reducido. No debe aceptarse sin validar la arquitectura, la redundancia, el monitoreo, los respaldos y los costos. La ubicación en Colombia debe confirmarse con el proveedor de infraestructura; no se prometerá sin evidencia contractual.</w:t>
      </w:r>
    </w:p>
    <w:p>
      <w:pPr>
        <w:pStyle w:val="Heading2"/>
      </w:pPr>
      <w:r>
        <w:t>2.4. Plan de concesiones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Petición</w:t>
            </w:r>
          </w:p>
        </w:tc>
        <w:tc>
          <w:tcPr>
            <w:tcW w:type="dxa" w:w="2484"/>
          </w:tcPr>
          <w:p>
            <w:r>
              <w:rPr>
                <w:b/>
              </w:rPr>
              <w:t>Concesión posible</w:t>
            </w:r>
          </w:p>
        </w:tc>
        <w:tc>
          <w:tcPr>
            <w:tcW w:type="dxa" w:w="2484"/>
          </w:tcPr>
          <w:p>
            <w:r>
              <w:rPr>
                <w:b/>
              </w:rPr>
              <w:t>A cambio de</w:t>
            </w:r>
          </w:p>
        </w:tc>
        <w:tc>
          <w:tcPr>
            <w:tcW w:type="dxa" w:w="2484"/>
          </w:tcPr>
          <w:p>
            <w:r>
              <w:rPr>
                <w:b/>
              </w:rPr>
              <w:t>Límite</w:t>
            </w:r>
          </w:p>
        </w:tc>
      </w:tr>
      <w:tr>
        <w:tc>
          <w:tcPr>
            <w:tcW w:type="dxa" w:w="2484"/>
          </w:tcPr>
          <w:p>
            <w:r>
              <w:t>Disponibilidad 99,9 %</w:t>
            </w:r>
          </w:p>
        </w:tc>
        <w:tc>
          <w:tcPr>
            <w:tcW w:type="dxa" w:w="2484"/>
          </w:tcPr>
          <w:p>
            <w:r>
              <w:t>Plan de mejora técnica y revisión después de un periodo de medición.</w:t>
            </w:r>
          </w:p>
        </w:tc>
        <w:tc>
          <w:tcPr>
            <w:tcW w:type="dxa" w:w="2484"/>
          </w:tcPr>
          <w:p>
            <w:r>
              <w:t>Contrato de 24 meses y aprobación de costos de infraestructura.</w:t>
            </w:r>
          </w:p>
        </w:tc>
        <w:tc>
          <w:tcPr>
            <w:tcW w:type="dxa" w:w="2484"/>
          </w:tcPr>
          <w:p>
            <w:r>
              <w:t>No garantizar un nivel no validado.</w:t>
            </w:r>
          </w:p>
        </w:tc>
      </w:tr>
      <w:tr>
        <w:tc>
          <w:tcPr>
            <w:tcW w:type="dxa" w:w="2484"/>
          </w:tcPr>
          <w:p>
            <w:r>
              <w:t>Penalidades altas</w:t>
            </w:r>
          </w:p>
        </w:tc>
        <w:tc>
          <w:tcPr>
            <w:tcW w:type="dxa" w:w="2484"/>
          </w:tcPr>
          <w:p>
            <w:r>
              <w:t>Créditos de servicio proporcionales, con tope mensual.</w:t>
            </w:r>
          </w:p>
        </w:tc>
        <w:tc>
          <w:tcPr>
            <w:tcW w:type="dxa" w:w="2484"/>
          </w:tcPr>
          <w:p>
            <w:r>
              <w:t>Exclusiones claras y medición objetiva.</w:t>
            </w:r>
          </w:p>
        </w:tc>
        <w:tc>
          <w:tcPr>
            <w:tcW w:type="dxa" w:w="2484"/>
          </w:tcPr>
          <w:p>
            <w:r>
              <w:t>No aceptar responsabilidad ilimitada ni doble compensación.</w:t>
            </w:r>
          </w:p>
        </w:tc>
      </w:tr>
      <w:tr>
        <w:tc>
          <w:tcPr>
            <w:tcW w:type="dxa" w:w="2484"/>
          </w:tcPr>
          <w:p>
            <w:r>
              <w:t>Servidores en Colombia</w:t>
            </w:r>
          </w:p>
        </w:tc>
        <w:tc>
          <w:tcPr>
            <w:tcW w:type="dxa" w:w="2484"/>
          </w:tcPr>
          <w:p>
            <w:r>
              <w:t>Seleccionar proveedor y región que lo acrediten, si es viable.</w:t>
            </w:r>
          </w:p>
        </w:tc>
        <w:tc>
          <w:tcPr>
            <w:tcW w:type="dxa" w:w="2484"/>
          </w:tcPr>
          <w:p>
            <w:r>
              <w:t>Ajuste de precio si genera costos adicionales.</w:t>
            </w:r>
          </w:p>
        </w:tc>
        <w:tc>
          <w:tcPr>
            <w:tcW w:type="dxa" w:w="2484"/>
          </w:tcPr>
          <w:p>
            <w:r>
              <w:t>No afirmar ubicación sin confirmación documental.</w:t>
            </w:r>
          </w:p>
        </w:tc>
      </w:tr>
      <w:tr>
        <w:tc>
          <w:tcPr>
            <w:tcW w:type="dxa" w:w="2484"/>
          </w:tcPr>
          <w:p>
            <w:r>
              <w:t>Capacitación</w:t>
            </w:r>
          </w:p>
        </w:tc>
        <w:tc>
          <w:tcPr>
            <w:tcW w:type="dxa" w:w="2484"/>
          </w:tcPr>
          <w:p>
            <w:r>
              <w:t>Sesión inicial y material de apoyo.</w:t>
            </w:r>
          </w:p>
        </w:tc>
        <w:tc>
          <w:tcPr>
            <w:tcW w:type="dxa" w:w="2484"/>
          </w:tcPr>
          <w:p>
            <w:r>
              <w:t>Calendario de implementación acordado.</w:t>
            </w:r>
          </w:p>
        </w:tc>
        <w:tc>
          <w:tcPr>
            <w:tcW w:type="dxa" w:w="2484"/>
          </w:tcPr>
          <w:p>
            <w:r>
              <w:t>Capacitación adicional cotizada.</w:t>
            </w:r>
          </w:p>
        </w:tc>
      </w:tr>
    </w:tbl>
    <w:p/>
    <w:p>
      <w:pPr>
        <w:pStyle w:val="Heading2"/>
      </w:pPr>
      <w:r>
        <w:t>2.5. Documentos priorizados</w:t>
      </w:r>
    </w:p>
    <w:p>
      <w:pPr>
        <w:pStyle w:val="ListNumber"/>
      </w:pPr>
      <w:r>
        <w:t>Propuesta comercial con tarifas de implementación y suscripción.</w:t>
      </w:r>
    </w:p>
    <w:p>
      <w:pPr>
        <w:pStyle w:val="ListNumber"/>
      </w:pPr>
      <w:r>
        <w:t>Términos de servicio SaaS y contrato principal.</w:t>
      </w:r>
    </w:p>
    <w:p>
      <w:pPr>
        <w:pStyle w:val="ListNumber"/>
      </w:pPr>
      <w:r>
        <w:t>SLA con disponibilidad, medición, severidades, mantenimiento, exclusiones y créditos topados.</w:t>
      </w:r>
    </w:p>
    <w:p>
      <w:pPr>
        <w:pStyle w:val="ListNumber"/>
      </w:pPr>
      <w:r>
        <w:t>Anexo de tratamiento de datos personales (DPA).</w:t>
      </w:r>
    </w:p>
    <w:p>
      <w:pPr>
        <w:pStyle w:val="ListNumber"/>
      </w:pPr>
      <w:r>
        <w:t>Ficha de seguridad: cifrado, accesos, registros, copias de respaldo y gestión de incidentes.</w:t>
      </w:r>
    </w:p>
    <w:p>
      <w:pPr>
        <w:pStyle w:val="ListNumber"/>
      </w:pPr>
      <w:r>
        <w:t>Plan de continuidad y recuperación, con objetivos RTO/RPO acordados.</w:t>
      </w:r>
    </w:p>
    <w:p>
      <w:pPr>
        <w:pStyle w:val="ListNumber"/>
      </w:pPr>
      <w:r>
        <w:t>Listado de subencargados y ubicación de los datos y respaldos.</w:t>
      </w:r>
    </w:p>
    <w:p>
      <w:pPr>
        <w:pStyle w:val="ListNumber"/>
      </w:pPr>
      <w:r>
        <w:t>Plan de onboarding, migración y capacitación.</w:t>
      </w:r>
    </w:p>
    <w:p>
      <w:pPr>
        <w:pStyle w:val="ListNumber"/>
      </w:pPr>
      <w:r>
        <w:t>Política de salida, exportación, devolución y eliminación de datos.</w:t>
      </w:r>
    </w:p>
    <w:p>
      <w:pPr>
        <w:pStyle w:val="ListNumber"/>
      </w:pPr>
      <w:r>
        <w:t>NDA, si se intercambia información confidencial antes de la firma.</w:t>
      </w:r>
    </w:p>
    <w:p>
      <w:pPr>
        <w:pStyle w:val="Heading2"/>
      </w:pPr>
      <w:r>
        <w:t>2.6. SLA propuesto</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rPr>
                <w:b/>
              </w:rPr>
              <w:t>Severidad</w:t>
            </w:r>
          </w:p>
        </w:tc>
        <w:tc>
          <w:tcPr>
            <w:tcW w:type="dxa" w:w="2484"/>
          </w:tcPr>
          <w:p>
            <w:r>
              <w:rPr>
                <w:b/>
              </w:rPr>
              <w:t>Ejemplo</w:t>
            </w:r>
          </w:p>
        </w:tc>
        <w:tc>
          <w:tcPr>
            <w:tcW w:type="dxa" w:w="2484"/>
          </w:tcPr>
          <w:p>
            <w:r>
              <w:rPr>
                <w:b/>
              </w:rPr>
              <w:t>Tiempo de respuesta</w:t>
            </w:r>
          </w:p>
        </w:tc>
        <w:tc>
          <w:tcPr>
            <w:tcW w:type="dxa" w:w="2484"/>
          </w:tcPr>
          <w:p>
            <w:r>
              <w:rPr>
                <w:b/>
              </w:rPr>
              <w:t>Objetivo de solución</w:t>
            </w:r>
          </w:p>
        </w:tc>
      </w:tr>
      <w:tr>
        <w:tc>
          <w:tcPr>
            <w:tcW w:type="dxa" w:w="2484"/>
          </w:tcPr>
          <w:p>
            <w:r>
              <w:t>Crítica</w:t>
            </w:r>
          </w:p>
        </w:tc>
        <w:tc>
          <w:tcPr>
            <w:tcW w:type="dxa" w:w="2484"/>
          </w:tcPr>
          <w:p>
            <w:r>
              <w:t>Plataforma caída o posible pérdida de datos.</w:t>
            </w:r>
          </w:p>
        </w:tc>
        <w:tc>
          <w:tcPr>
            <w:tcW w:type="dxa" w:w="2484"/>
          </w:tcPr>
          <w:p>
            <w:r>
              <w:t>1 hora, 24/7.</w:t>
            </w:r>
          </w:p>
        </w:tc>
        <w:tc>
          <w:tcPr>
            <w:tcW w:type="dxa" w:w="2484"/>
          </w:tcPr>
          <w:p>
            <w:r>
              <w:t>Mitigación prioritaria; objetivo inicial de 4 horas, sujeto a diagnóstico.</w:t>
            </w:r>
          </w:p>
        </w:tc>
      </w:tr>
      <w:tr>
        <w:tc>
          <w:tcPr>
            <w:tcW w:type="dxa" w:w="2484"/>
          </w:tcPr>
          <w:p>
            <w:r>
              <w:t>Alta</w:t>
            </w:r>
          </w:p>
        </w:tc>
        <w:tc>
          <w:tcPr>
            <w:tcW w:type="dxa" w:w="2484"/>
          </w:tcPr>
          <w:p>
            <w:r>
              <w:t>Función principal afectada sin alternativa.</w:t>
            </w:r>
          </w:p>
        </w:tc>
        <w:tc>
          <w:tcPr>
            <w:tcW w:type="dxa" w:w="2484"/>
          </w:tcPr>
          <w:p>
            <w:r>
              <w:t>4 horas hábiles.</w:t>
            </w:r>
          </w:p>
        </w:tc>
        <w:tc>
          <w:tcPr>
            <w:tcW w:type="dxa" w:w="2484"/>
          </w:tcPr>
          <w:p>
            <w:r>
              <w:t>1 día hábil como objetivo.</w:t>
            </w:r>
          </w:p>
        </w:tc>
      </w:tr>
      <w:tr>
        <w:tc>
          <w:tcPr>
            <w:tcW w:type="dxa" w:w="2484"/>
          </w:tcPr>
          <w:p>
            <w:r>
              <w:t>Media</w:t>
            </w:r>
          </w:p>
        </w:tc>
        <w:tc>
          <w:tcPr>
            <w:tcW w:type="dxa" w:w="2484"/>
          </w:tcPr>
          <w:p>
            <w:r>
              <w:t>Falla parcial con alternativa temporal.</w:t>
            </w:r>
          </w:p>
        </w:tc>
        <w:tc>
          <w:tcPr>
            <w:tcW w:type="dxa" w:w="2484"/>
          </w:tcPr>
          <w:p>
            <w:r>
              <w:t>1 día hábil.</w:t>
            </w:r>
          </w:p>
        </w:tc>
        <w:tc>
          <w:tcPr>
            <w:tcW w:type="dxa" w:w="2484"/>
          </w:tcPr>
          <w:p>
            <w:r>
              <w:t>5 días hábiles como objetivo.</w:t>
            </w:r>
          </w:p>
        </w:tc>
      </w:tr>
      <w:tr>
        <w:tc>
          <w:tcPr>
            <w:tcW w:type="dxa" w:w="2484"/>
          </w:tcPr>
          <w:p>
            <w:r>
              <w:t>Baja</w:t>
            </w:r>
          </w:p>
        </w:tc>
        <w:tc>
          <w:tcPr>
            <w:tcW w:type="dxa" w:w="2484"/>
          </w:tcPr>
          <w:p>
            <w:r>
              <w:t>Consulta o solicitud de mejora.</w:t>
            </w:r>
          </w:p>
        </w:tc>
        <w:tc>
          <w:tcPr>
            <w:tcW w:type="dxa" w:w="2484"/>
          </w:tcPr>
          <w:p>
            <w:r>
              <w:t>2 días hábiles.</w:t>
            </w:r>
          </w:p>
        </w:tc>
        <w:tc>
          <w:tcPr>
            <w:tcW w:type="dxa" w:w="2484"/>
          </w:tcPr>
          <w:p>
            <w:r>
              <w:t>Se programa según prioridad.</w:t>
            </w:r>
          </w:p>
        </w:tc>
      </w:tr>
    </w:tbl>
    <w:p/>
    <w:p>
      <w:pPr>
        <w:pStyle w:val="Heading2"/>
      </w:pPr>
      <w:r>
        <w:t>2.7. Cláusula redactada: disponibilidad y créditos</w:t>
      </w:r>
    </w:p>
    <w:p>
      <w:r>
        <w:t>“El proveedor realizará esfuerzos comercialmente razonables para mantener una disponibilidad mensual del servicio del 99,5 %, calculada conforme al método de medición descrito en el SLA. Se excluirán las ventanas de mantenimiento notificadas, eventos de fuerza mayor, fallas atribuibles a sistemas del cliente y fallas de terceros fuera del control razonable del proveedor, siempre que se documenten. Si la disponibilidad mensual queda por debajo del objetivo por causas imputables al proveedor, el cliente podrá solicitar créditos de servicio conforme a la tabla del SLA, hasta un máximo del diez por ciento (10 %) de la tarifa mensual del servicio afectado. Los créditos constituyen el remedio económico previsto por incumplimientos de disponibilidad, sin limitar las obligaciones que legalmente no puedan excluirse.”</w:t>
      </w:r>
    </w:p>
    <w:p>
      <w:pPr>
        <w:pStyle w:val="Heading2"/>
      </w:pPr>
      <w:r>
        <w:t>2.8. Cierre del caso</w:t>
      </w:r>
    </w:p>
    <w:p>
      <w:r>
        <w:t>La prioridad es proteger los datos de salud, establecer responsabilidades claras y ofrecer un SLA medible y cumplible. Antes de firmar, deben validarse alojamiento, seguridad, respaldos y obligaciones de cada parte.</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Soluciones Digitales Andinas S.A.S. | Actividad académica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