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NEGOCIACIÓN DE SOFTWARE:</w:t>
        <w:br/>
        <w:t>CASO 3. DESARROLLO A MEDIDA PARA EMPRESA PRIVADA</w:t>
      </w:r>
    </w:p>
    <w:p>
      <w:pPr>
        <w:jc w:val="center"/>
      </w:pPr>
      <w:r>
        <w:rPr>
          <w:b/>
        </w:rPr>
        <w:t>Soluciones Digitales Andinas S.A.S.</w:t>
      </w:r>
    </w:p>
    <w:p>
      <w:r>
        <w:t>Actividad académica – Análisis y Desarrollo de Software, SENA</w:t>
      </w:r>
    </w:p>
    <w:p>
      <w:r>
        <w:t>Aprendiz: ______________________________</w:t>
      </w:r>
    </w:p>
    <w:p>
      <w:r>
        <w:t>Fecha: ______________________________</w:t>
      </w:r>
    </w:p>
    <w:p>
      <w:r>
        <w:t>Nota: los escenarios, nombres y valores son ficticios y se presentan con fines educativos.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  <w:p>
      <w:pPr>
        <w:pStyle w:val="Heading1"/>
      </w:pPr>
      <w:r>
        <w:t>CASO 3. DESARROLLO A MEDIDA PARA EMPRESA PRIVADA</w:t>
      </w:r>
    </w:p>
    <w:p>
      <w:pPr>
        <w:pStyle w:val="Heading2"/>
      </w:pPr>
      <w:r>
        <w:t>3.1. Situación</w:t>
      </w:r>
    </w:p>
    <w:p>
      <w:r>
        <w:t>La empresa ficticia Logística Ruta Segura S.A.S. solicita una aplicación de seguimiento de flotas que “haga de todo”. Solo entrega una presentación de una página y exige un precio cerrado en dos días. El proveedor no debe comprometer precio y plazo definitivos sin levantar requisitos y acordar prioridades.</w:t>
      </w:r>
    </w:p>
    <w:p>
      <w:pPr>
        <w:pStyle w:val="Heading2"/>
      </w:pPr>
      <w:r>
        <w:t>3.2. Fase de descubrimiento</w:t>
      </w:r>
    </w:p>
    <w:p>
      <w:r>
        <w:t>Se propone una fase inicial de descubrimiento de dos semanas, por COP $6.000.000. El resultado será un documento de requisitos priorizados, mapa de procesos, prototipo inicial, arquitectura preliminar, riesgos, estimación por fases y criterios de aceptación. Si el cliente aprueba la fase, el valor podrá reconocerse parcialmente como crédito para el desarrollo, según acuerdo escrito.</w:t>
      </w:r>
    </w:p>
    <w:p>
      <w:pPr>
        <w:pStyle w:val="ListBullet"/>
      </w:pPr>
      <w:r>
        <w:t>Entrevistar a operaciones, conductores, supervisores y personal administrativo.</w:t>
      </w:r>
    </w:p>
    <w:p>
      <w:pPr>
        <w:pStyle w:val="ListBullet"/>
      </w:pPr>
      <w:r>
        <w:t>Identificar tipos de vehículos, cantidad de usuarios y frecuencia de actualización de ubicación.</w:t>
      </w:r>
    </w:p>
    <w:p>
      <w:pPr>
        <w:pStyle w:val="ListBullet"/>
      </w:pPr>
      <w:r>
        <w:t>Definir si se requiere GPS propio, integración con proveedores o captura manual.</w:t>
      </w:r>
    </w:p>
    <w:p>
      <w:pPr>
        <w:pStyle w:val="ListBullet"/>
      </w:pPr>
      <w:r>
        <w:t>Priorizar funciones indispensables para una primera versión.</w:t>
      </w:r>
    </w:p>
    <w:p>
      <w:pPr>
        <w:pStyle w:val="ListBullet"/>
      </w:pPr>
      <w:r>
        <w:t>Identificar requisitos de seguridad, conectividad, reportes y conservación de datos.</w:t>
      </w:r>
    </w:p>
    <w:p>
      <w:pPr>
        <w:pStyle w:val="ListBullet"/>
      </w:pPr>
      <w:r>
        <w:t>Validar presupuesto, fechas, responsables y dependencias externas.</w:t>
      </w:r>
    </w:p>
    <w:p>
      <w:pPr>
        <w:pStyle w:val="Heading2"/>
      </w:pPr>
      <w:r>
        <w:t>3.3. Alcance incluido y excluido (SOW)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Incluido en la primera versión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Excluido salvo cotización y aprobación</w:t>
            </w:r>
          </w:p>
        </w:tc>
      </w:tr>
      <w:tr>
        <w:tc>
          <w:tcPr>
            <w:tcW w:type="dxa" w:w="4968"/>
          </w:tcPr>
          <w:p>
            <w:r>
              <w:t>Inicio de sesión y roles básicos.</w:t>
            </w:r>
          </w:p>
        </w:tc>
        <w:tc>
          <w:tcPr>
            <w:tcW w:type="dxa" w:w="4968"/>
          </w:tcPr>
          <w:p>
            <w:r>
              <w:t>Compra o instalación de dispositivos GPS.</w:t>
            </w:r>
          </w:p>
        </w:tc>
      </w:tr>
      <w:tr>
        <w:tc>
          <w:tcPr>
            <w:tcW w:type="dxa" w:w="4968"/>
          </w:tcPr>
          <w:p>
            <w:r>
              <w:t>Registro de vehículos y conductores.</w:t>
            </w:r>
          </w:p>
        </w:tc>
        <w:tc>
          <w:tcPr>
            <w:tcW w:type="dxa" w:w="4968"/>
          </w:tcPr>
          <w:p>
            <w:r>
              <w:t>Integraciones con sistemas de terceros no identificadas.</w:t>
            </w:r>
          </w:p>
        </w:tc>
      </w:tr>
      <w:tr>
        <w:tc>
          <w:tcPr>
            <w:tcW w:type="dxa" w:w="4968"/>
          </w:tcPr>
          <w:p>
            <w:r>
              <w:t>Visualización de ubicación si existe API compatible y acceso autorizado.</w:t>
            </w:r>
          </w:p>
        </w:tc>
        <w:tc>
          <w:tcPr>
            <w:tcW w:type="dxa" w:w="4968"/>
          </w:tcPr>
          <w:p>
            <w:r>
              <w:t>Cobertura garantizada en zonas sin conectividad.</w:t>
            </w:r>
          </w:p>
        </w:tc>
      </w:tr>
      <w:tr>
        <w:tc>
          <w:tcPr>
            <w:tcW w:type="dxa" w:w="4968"/>
          </w:tcPr>
          <w:p>
            <w:r>
              <w:t>Registro de recorridos y estado del vehículo.</w:t>
            </w:r>
          </w:p>
        </w:tc>
        <w:tc>
          <w:tcPr>
            <w:tcW w:type="dxa" w:w="4968"/>
          </w:tcPr>
          <w:p>
            <w:r>
              <w:t>Predicción avanzada con inteligencia artificial.</w:t>
            </w:r>
          </w:p>
        </w:tc>
      </w:tr>
      <w:tr>
        <w:tc>
          <w:tcPr>
            <w:tcW w:type="dxa" w:w="4968"/>
          </w:tcPr>
          <w:p>
            <w:r>
              <w:t>Panel básico y reportes acordados.</w:t>
            </w:r>
          </w:p>
        </w:tc>
        <w:tc>
          <w:tcPr>
            <w:tcW w:type="dxa" w:w="4968"/>
          </w:tcPr>
          <w:p>
            <w:r>
              <w:t>Aplicación adicional para terceros o nuevos módulos no definidos.</w:t>
            </w:r>
          </w:p>
        </w:tc>
      </w:tr>
      <w:tr>
        <w:tc>
          <w:tcPr>
            <w:tcW w:type="dxa" w:w="4968"/>
          </w:tcPr>
          <w:p>
            <w:r>
              <w:t>Pruebas funcionales, capacitación básica y despliegue acordado.</w:t>
            </w:r>
          </w:p>
        </w:tc>
        <w:tc>
          <w:tcPr>
            <w:tcW w:type="dxa" w:w="4968"/>
          </w:tcPr>
          <w:p>
            <w:r>
              <w:t>Migración masiva de datos no evaluada, licencias de terceros y soporte 24/7.</w:t>
            </w:r>
          </w:p>
        </w:tc>
      </w:tr>
    </w:tbl>
    <w:p/>
    <w:p>
      <w:pPr>
        <w:pStyle w:val="Heading2"/>
      </w:pPr>
      <w:r>
        <w:t>3.4. Plan de concesiones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Petición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Concesión posible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 cambio de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Límite</w:t>
            </w:r>
          </w:p>
        </w:tc>
      </w:tr>
      <w:tr>
        <w:tc>
          <w:tcPr>
            <w:tcW w:type="dxa" w:w="2484"/>
          </w:tcPr>
          <w:p>
            <w:r>
              <w:t>Precio cerrado en dos días</w:t>
            </w:r>
          </w:p>
        </w:tc>
        <w:tc>
          <w:tcPr>
            <w:tcW w:type="dxa" w:w="2484"/>
          </w:tcPr>
          <w:p>
            <w:r>
              <w:t>Entregar estimación preliminar y precio definitivo después del descubrimiento.</w:t>
            </w:r>
          </w:p>
        </w:tc>
        <w:tc>
          <w:tcPr>
            <w:tcW w:type="dxa" w:w="2484"/>
          </w:tcPr>
          <w:p>
            <w:r>
              <w:t>Aprobación y pago de la fase inicial.</w:t>
            </w:r>
          </w:p>
        </w:tc>
        <w:tc>
          <w:tcPr>
            <w:tcW w:type="dxa" w:w="2484"/>
          </w:tcPr>
          <w:p>
            <w:r>
              <w:t>No cerrar precio sobre requisitos ambiguos.</w:t>
            </w:r>
          </w:p>
        </w:tc>
      </w:tr>
      <w:tr>
        <w:tc>
          <w:tcPr>
            <w:tcW w:type="dxa" w:w="2484"/>
          </w:tcPr>
          <w:p>
            <w:r>
              <w:t>Más funciones sin costo</w:t>
            </w:r>
          </w:p>
        </w:tc>
        <w:tc>
          <w:tcPr>
            <w:tcW w:type="dxa" w:w="2484"/>
          </w:tcPr>
          <w:p>
            <w:r>
              <w:t>Priorizar funciones esenciales para la primera versión.</w:t>
            </w:r>
          </w:p>
        </w:tc>
        <w:tc>
          <w:tcPr>
            <w:tcW w:type="dxa" w:w="2484"/>
          </w:tcPr>
          <w:p>
            <w:r>
              <w:t>Mover otras funciones a una segunda fase.</w:t>
            </w:r>
          </w:p>
        </w:tc>
        <w:tc>
          <w:tcPr>
            <w:tcW w:type="dxa" w:w="2484"/>
          </w:tcPr>
          <w:p>
            <w:r>
              <w:t>No ampliar alcance sin ajuste.</w:t>
            </w:r>
          </w:p>
        </w:tc>
      </w:tr>
      <w:tr>
        <w:tc>
          <w:tcPr>
            <w:tcW w:type="dxa" w:w="2484"/>
          </w:tcPr>
          <w:p>
            <w:r>
              <w:t>Entrega rápida</w:t>
            </w:r>
          </w:p>
        </w:tc>
        <w:tc>
          <w:tcPr>
            <w:tcW w:type="dxa" w:w="2484"/>
          </w:tcPr>
          <w:p>
            <w:r>
              <w:t>Desarrollo por versiones y entregas parciales.</w:t>
            </w:r>
          </w:p>
        </w:tc>
        <w:tc>
          <w:tcPr>
            <w:tcW w:type="dxa" w:w="2484"/>
          </w:tcPr>
          <w:p>
            <w:r>
              <w:t>Cliente entrega datos, accesos y respuestas a tiempo.</w:t>
            </w:r>
          </w:p>
        </w:tc>
        <w:tc>
          <w:tcPr>
            <w:tcW w:type="dxa" w:w="2484"/>
          </w:tcPr>
          <w:p>
            <w:r>
              <w:t>Los retrasos del cliente ajustan cronograma.</w:t>
            </w:r>
          </w:p>
        </w:tc>
      </w:tr>
      <w:tr>
        <w:tc>
          <w:tcPr>
            <w:tcW w:type="dxa" w:w="2484"/>
          </w:tcPr>
          <w:p>
            <w:r>
              <w:t>Capacitación adicional</w:t>
            </w:r>
          </w:p>
        </w:tc>
        <w:tc>
          <w:tcPr>
            <w:tcW w:type="dxa" w:w="2484"/>
          </w:tcPr>
          <w:p>
            <w:r>
              <w:t>Una sesión extra remota.</w:t>
            </w:r>
          </w:p>
        </w:tc>
        <w:tc>
          <w:tcPr>
            <w:tcW w:type="dxa" w:w="2484"/>
          </w:tcPr>
          <w:p>
            <w:r>
              <w:t>Aprobación de entregables en los plazos pactados.</w:t>
            </w:r>
          </w:p>
        </w:tc>
        <w:tc>
          <w:tcPr>
            <w:tcW w:type="dxa" w:w="2484"/>
          </w:tcPr>
          <w:p>
            <w:r>
              <w:t>Sesiones adicionales cotizadas.</w:t>
            </w:r>
          </w:p>
        </w:tc>
      </w:tr>
    </w:tbl>
    <w:p/>
    <w:p>
      <w:pPr>
        <w:pStyle w:val="Heading2"/>
      </w:pPr>
      <w:r>
        <w:t>3.5. Cronograma de pagos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Hito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Porcentaje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Condición</w:t>
            </w:r>
          </w:p>
        </w:tc>
      </w:tr>
      <w:tr>
        <w:tc>
          <w:tcPr>
            <w:tcW w:type="dxa" w:w="2484"/>
          </w:tcPr>
          <w:p>
            <w:r>
              <w:t>Inicio</w:t>
            </w:r>
          </w:p>
        </w:tc>
        <w:tc>
          <w:tcPr>
            <w:tcW w:type="dxa" w:w="2484"/>
          </w:tcPr>
          <w:p>
            <w:r>
              <w:t>Firma, acta de inicio y plan de trabajo.</w:t>
            </w:r>
          </w:p>
        </w:tc>
        <w:tc>
          <w:tcPr>
            <w:tcW w:type="dxa" w:w="2484"/>
          </w:tcPr>
          <w:p>
            <w:r>
              <w:t>30 %</w:t>
            </w:r>
          </w:p>
        </w:tc>
        <w:tc>
          <w:tcPr>
            <w:tcW w:type="dxa" w:w="2484"/>
          </w:tcPr>
          <w:p>
            <w:r>
              <w:t>Contra firma.</w:t>
            </w:r>
          </w:p>
        </w:tc>
      </w:tr>
      <w:tr>
        <w:tc>
          <w:tcPr>
            <w:tcW w:type="dxa" w:w="2484"/>
          </w:tcPr>
          <w:p>
            <w:r>
              <w:t>Diseño</w:t>
            </w:r>
          </w:p>
        </w:tc>
        <w:tc>
          <w:tcPr>
            <w:tcW w:type="dxa" w:w="2484"/>
          </w:tcPr>
          <w:p>
            <w:r>
              <w:t>Requisitos aprobados y prototipo.</w:t>
            </w:r>
          </w:p>
        </w:tc>
        <w:tc>
          <w:tcPr>
            <w:tcW w:type="dxa" w:w="2484"/>
          </w:tcPr>
          <w:p>
            <w:r>
              <w:t>20 %</w:t>
            </w:r>
          </w:p>
        </w:tc>
        <w:tc>
          <w:tcPr>
            <w:tcW w:type="dxa" w:w="2484"/>
          </w:tcPr>
          <w:p>
            <w:r>
              <w:t>Aceptación escrita del diseño.</w:t>
            </w:r>
          </w:p>
        </w:tc>
      </w:tr>
      <w:tr>
        <w:tc>
          <w:tcPr>
            <w:tcW w:type="dxa" w:w="2484"/>
          </w:tcPr>
          <w:p>
            <w:r>
              <w:t>Versión funcional</w:t>
            </w:r>
          </w:p>
        </w:tc>
        <w:tc>
          <w:tcPr>
            <w:tcW w:type="dxa" w:w="2484"/>
          </w:tcPr>
          <w:p>
            <w:r>
              <w:t>Módulos acordados en ambiente de pruebas.</w:t>
            </w:r>
          </w:p>
        </w:tc>
        <w:tc>
          <w:tcPr>
            <w:tcW w:type="dxa" w:w="2484"/>
          </w:tcPr>
          <w:p>
            <w:r>
              <w:t>30 %</w:t>
            </w:r>
          </w:p>
        </w:tc>
        <w:tc>
          <w:tcPr>
            <w:tcW w:type="dxa" w:w="2484"/>
          </w:tcPr>
          <w:p>
            <w:r>
              <w:t>Ejecución de pruebas y registro de resultados.</w:t>
            </w:r>
          </w:p>
        </w:tc>
      </w:tr>
      <w:tr>
        <w:tc>
          <w:tcPr>
            <w:tcW w:type="dxa" w:w="2484"/>
          </w:tcPr>
          <w:p>
            <w:r>
              <w:t>Cierre</w:t>
            </w:r>
          </w:p>
        </w:tc>
        <w:tc>
          <w:tcPr>
            <w:tcW w:type="dxa" w:w="2484"/>
          </w:tcPr>
          <w:p>
            <w:r>
              <w:t>Despliegue, capacitación y documentación.</w:t>
            </w:r>
          </w:p>
        </w:tc>
        <w:tc>
          <w:tcPr>
            <w:tcW w:type="dxa" w:w="2484"/>
          </w:tcPr>
          <w:p>
            <w:r>
              <w:t>20 %</w:t>
            </w:r>
          </w:p>
        </w:tc>
        <w:tc>
          <w:tcPr>
            <w:tcW w:type="dxa" w:w="2484"/>
          </w:tcPr>
          <w:p>
            <w:r>
              <w:t>Acta de aceptación final.</w:t>
            </w:r>
          </w:p>
        </w:tc>
      </w:tr>
    </w:tbl>
    <w:p/>
    <w:p>
      <w:pPr>
        <w:pStyle w:val="Heading2"/>
      </w:pPr>
      <w:r>
        <w:t>3.6. Control de cambios</w:t>
      </w:r>
    </w:p>
    <w:p>
      <w:pPr>
        <w:pStyle w:val="ListNumber"/>
      </w:pPr>
      <w:r>
        <w:t>El cliente registra la solicitud del cambio y su motivo.</w:t>
      </w:r>
    </w:p>
    <w:p>
      <w:pPr>
        <w:pStyle w:val="ListNumber"/>
      </w:pPr>
      <w:r>
        <w:t>El proveedor analiza impacto en precio, plazo, seguridad y alcance.</w:t>
      </w:r>
    </w:p>
    <w:p>
      <w:pPr>
        <w:pStyle w:val="ListNumber"/>
      </w:pPr>
      <w:r>
        <w:t>El proveedor presenta una estimación escrita.</w:t>
      </w:r>
    </w:p>
    <w:p>
      <w:pPr>
        <w:pStyle w:val="ListNumber"/>
      </w:pPr>
      <w:r>
        <w:t>El cliente aprueba o rechaza la cotización por escrito.</w:t>
      </w:r>
    </w:p>
    <w:p>
      <w:pPr>
        <w:pStyle w:val="ListNumber"/>
      </w:pPr>
      <w:r>
        <w:t>El cambio solo se ejecuta después de la aprobación formal.</w:t>
      </w:r>
    </w:p>
    <w:p>
      <w:pPr>
        <w:pStyle w:val="ListNumber"/>
      </w:pPr>
      <w:r>
        <w:t>Se actualizan el SOW, el cronograma y los criterios de aceptación cuando corresponda.</w:t>
      </w:r>
    </w:p>
    <w:p>
      <w:pPr>
        <w:pStyle w:val="Heading2"/>
      </w:pPr>
      <w:r>
        <w:t>3.7. Documentos priorizados</w:t>
      </w:r>
    </w:p>
    <w:p>
      <w:pPr>
        <w:pStyle w:val="ListNumber"/>
      </w:pPr>
      <w:r>
        <w:t>Acta de descubrimiento y levantamiento de requisitos.</w:t>
      </w:r>
    </w:p>
    <w:p>
      <w:pPr>
        <w:pStyle w:val="ListNumber"/>
      </w:pPr>
      <w:r>
        <w:t>Propuesta económica por fase.</w:t>
      </w:r>
    </w:p>
    <w:p>
      <w:pPr>
        <w:pStyle w:val="ListNumber"/>
      </w:pPr>
      <w:r>
        <w:t>SOW con alcance incluido y excluido.</w:t>
      </w:r>
    </w:p>
    <w:p>
      <w:pPr>
        <w:pStyle w:val="ListNumber"/>
      </w:pPr>
      <w:r>
        <w:t>Contrato de desarrollo de software.</w:t>
      </w:r>
    </w:p>
    <w:p>
      <w:pPr>
        <w:pStyle w:val="ListNumber"/>
      </w:pPr>
      <w:r>
        <w:t>Cronograma de hitos y pagos.</w:t>
      </w:r>
    </w:p>
    <w:p>
      <w:pPr>
        <w:pStyle w:val="ListNumber"/>
      </w:pPr>
      <w:r>
        <w:t>Prototipo y documento de diseño aprobado.</w:t>
      </w:r>
    </w:p>
    <w:p>
      <w:pPr>
        <w:pStyle w:val="ListNumber"/>
      </w:pPr>
      <w:r>
        <w:t>Matriz de riesgos, dependencias y responsabilidades.</w:t>
      </w:r>
    </w:p>
    <w:p>
      <w:pPr>
        <w:pStyle w:val="ListNumber"/>
      </w:pPr>
      <w:r>
        <w:t>Plan de pruebas y criterios de aceptación.</w:t>
      </w:r>
    </w:p>
    <w:p>
      <w:pPr>
        <w:pStyle w:val="ListNumber"/>
      </w:pPr>
      <w:r>
        <w:t>Procedimiento de control de cambios.</w:t>
      </w:r>
    </w:p>
    <w:p>
      <w:pPr>
        <w:pStyle w:val="ListNumber"/>
      </w:pPr>
      <w:r>
        <w:t>Cláusulas de propiedad intelectual, confidencialidad y datos personales.</w:t>
      </w:r>
    </w:p>
    <w:p>
      <w:pPr>
        <w:pStyle w:val="ListNumber"/>
      </w:pPr>
      <w:r>
        <w:t>Actas de entrega, garantía y plan de mantenimiento.</w:t>
      </w:r>
    </w:p>
    <w:p>
      <w:pPr>
        <w:pStyle w:val="Heading2"/>
      </w:pPr>
      <w:r>
        <w:t>3.8. Cláusula redactada: alcance y control de cambios</w:t>
      </w:r>
    </w:p>
    <w:p>
      <w:r>
        <w:t>“El proveedor desarrollará únicamente las funcionalidades descritas en el SOW aprobado por ambas partes. Las funciones, integraciones, reportes o modificaciones que no estén expresamente incluidas se considerarán fuera del alcance. Toda solicitud de cambio será evaluada por el proveedor y deberá indicar su impacto en costos, cronograma y criterios de aceptación. Ningún cambio será obligatorio ni comenzará a ejecutarse sin aprobación escrita de ambas partes. Los retrasos ocasionados por la falta de información, accesos, decisiones o aprobaciones del cliente podrán modificar las fechas de entrega mediante actualización documentada del cronograma.”</w:t>
      </w:r>
    </w:p>
    <w:p>
      <w:pPr>
        <w:pStyle w:val="Heading2"/>
      </w:pPr>
      <w:r>
        <w:t>3.9. Cierre del caso</w:t>
      </w:r>
    </w:p>
    <w:p>
      <w:r>
        <w:t>Se recomienda no aceptar un precio cerrado con requisitos verbales. La fase de descubrimiento permite conocer la necesidad real, reducir riesgos y construir una propuesta económica defendible.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Soluciones Digitales Andinas S.A.S. | Actividad académica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