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NEGOCIACIÓN DE SOFTWARE: ACTIVIDADES Y ENTREGABLES</w:t>
      </w:r>
    </w:p>
    <w:p>
      <w:pPr>
        <w:jc w:val="center"/>
      </w:pPr>
      <w:r>
        <w:rPr>
          <w:b/>
          <w:sz w:val="26"/>
        </w:rPr>
        <w:t>DOCUMENTACIÓN DEL SECTOR PRIVADO – CASO 3: DESARROLLO A MEDIDA</w:t>
      </w:r>
    </w:p>
    <w:p>
      <w:r>
        <w:t>Empresa proveedora ficticia: Soluciones Digitales Andinas S.A.S.</w:t>
      </w:r>
    </w:p>
    <w:p>
      <w:r>
        <w:t>Actividad académica – Análisis y Desarrollo de Software, SENA</w:t>
      </w:r>
    </w:p>
    <w:p>
      <w:r>
        <w:t>Nota: Los nombres, cifras y condiciones propuestos son ficticios y se usan únicamente con fines académicos.</w:t>
      </w:r>
    </w:p>
    <w:p>
      <w:pPr>
        <w:pStyle w:val="Heading1"/>
      </w:pPr>
      <w:r>
        <w:t>1. Situación del caso</w:t>
      </w:r>
    </w:p>
    <w:p>
      <w:r>
        <w:t>Una empresa privada de logística solicita una aplicación de seguimiento de flotas que “haga de todo”. Entrega una presentación de una página y exige precio cerrado en dos días. El proveedor propone una fase de descubrimiento antes de fijar precio y plazo definitivos.</w:t>
      </w:r>
    </w:p>
    <w:p>
      <w:pPr>
        <w:pStyle w:val="Heading1"/>
      </w:pPr>
      <w:r>
        <w:t>2. Plan de descubrimiento</w:t>
      </w:r>
    </w:p>
    <w:p>
      <w:r>
        <w:t>Duración propuesta: dos semanas. Valor ilustrativo: COP $6.000.000. Entregables: requisitos priorizados, mapa de procesos, prototipo inicial, arquitectura preliminar, riesgos, estimación por fases y criterios de aceptación.</w:t>
      </w:r>
    </w:p>
    <w:p>
      <w:pPr>
        <w:pStyle w:val="ListBullet"/>
      </w:pPr>
      <w:r>
        <w:t>Entrevistar a operaciones, conductores, supervisores y administración.</w:t>
      </w:r>
    </w:p>
    <w:p>
      <w:pPr>
        <w:pStyle w:val="ListBullet"/>
      </w:pPr>
      <w:r>
        <w:t>Identificar cantidad de vehículos, usuarios, tipos de ubicación y frecuencia de actualización.</w:t>
      </w:r>
    </w:p>
    <w:p>
      <w:pPr>
        <w:pStyle w:val="ListBullet"/>
      </w:pPr>
      <w:r>
        <w:t>Determinar si se requiere GPS propio, integración con proveedores o registro manual.</w:t>
      </w:r>
    </w:p>
    <w:p>
      <w:pPr>
        <w:pStyle w:val="ListBullet"/>
      </w:pPr>
      <w:r>
        <w:t>Priorizar funciones obligatorias para una primera versión.</w:t>
      </w:r>
    </w:p>
    <w:p>
      <w:pPr>
        <w:pStyle w:val="ListBullet"/>
      </w:pPr>
      <w:r>
        <w:t>Definir seguridad, conectividad, reportes, conservación y acceso a los datos.</w:t>
      </w:r>
    </w:p>
    <w:p>
      <w:pPr>
        <w:pStyle w:val="ListBullet"/>
      </w:pPr>
      <w:r>
        <w:t>Validar presupuesto, fechas, responsables y dependencias externas.</w:t>
      </w:r>
    </w:p>
    <w:p>
      <w:pPr>
        <w:pStyle w:val="Heading1"/>
      </w:pPr>
      <w:r>
        <w:t>3. Alcance inicial (SOW)</w:t>
      </w:r>
    </w:p>
    <w:tbl>
      <w:tblPr>
        <w:tblStyle w:val="TableGrid"/>
        <w:tblW w:type="auto" w:w="0"/>
        <w:tblLook w:firstColumn="1" w:firstRow="1" w:lastColumn="0" w:lastRow="0" w:noHBand="0" w:noVBand="1" w:val="04A0"/>
      </w:tblPr>
      <w:tblGrid>
        <w:gridCol w:w="4968"/>
        <w:gridCol w:w="4968"/>
      </w:tblGrid>
      <w:tr>
        <w:tc>
          <w:tcPr>
            <w:tcW w:type="dxa" w:w="4968"/>
          </w:tcPr>
          <w:p>
            <w:r>
              <w:t>Incluido en la primera versión</w:t>
            </w:r>
          </w:p>
        </w:tc>
        <w:tc>
          <w:tcPr>
            <w:tcW w:type="dxa" w:w="4968"/>
          </w:tcPr>
          <w:p>
            <w:r>
              <w:t>Excluido salvo cotización y aprobación</w:t>
            </w:r>
          </w:p>
        </w:tc>
      </w:tr>
      <w:tr>
        <w:tc>
          <w:tcPr>
            <w:tcW w:type="dxa" w:w="4968"/>
          </w:tcPr>
          <w:p>
            <w:r>
              <w:t>Inicio de sesión y roles básicos.</w:t>
            </w:r>
          </w:p>
        </w:tc>
        <w:tc>
          <w:tcPr>
            <w:tcW w:type="dxa" w:w="4968"/>
          </w:tcPr>
          <w:p>
            <w:r>
              <w:t>Compra o instalación de dispositivos GPS.</w:t>
            </w:r>
          </w:p>
        </w:tc>
      </w:tr>
      <w:tr>
        <w:tc>
          <w:tcPr>
            <w:tcW w:type="dxa" w:w="4968"/>
          </w:tcPr>
          <w:p>
            <w:r>
              <w:t>Registro de vehículos y conductores.</w:t>
            </w:r>
          </w:p>
        </w:tc>
        <w:tc>
          <w:tcPr>
            <w:tcW w:type="dxa" w:w="4968"/>
          </w:tcPr>
          <w:p>
            <w:r>
              <w:t>Integraciones con terceros no identificadas durante descubrimiento.</w:t>
            </w:r>
          </w:p>
        </w:tc>
      </w:tr>
      <w:tr>
        <w:tc>
          <w:tcPr>
            <w:tcW w:type="dxa" w:w="4968"/>
          </w:tcPr>
          <w:p>
            <w:r>
              <w:t>Visualización de ubicación si existe API compatible y acceso autorizado.</w:t>
            </w:r>
          </w:p>
        </w:tc>
        <w:tc>
          <w:tcPr>
            <w:tcW w:type="dxa" w:w="4968"/>
          </w:tcPr>
          <w:p>
            <w:r>
              <w:t>Garantía de cobertura en zonas sin conectividad.</w:t>
            </w:r>
          </w:p>
        </w:tc>
      </w:tr>
      <w:tr>
        <w:tc>
          <w:tcPr>
            <w:tcW w:type="dxa" w:w="4968"/>
          </w:tcPr>
          <w:p>
            <w:r>
              <w:t>Registro de recorridos y estado del vehículo.</w:t>
            </w:r>
          </w:p>
        </w:tc>
        <w:tc>
          <w:tcPr>
            <w:tcW w:type="dxa" w:w="4968"/>
          </w:tcPr>
          <w:p>
            <w:r>
              <w:t>Predicción avanzada mediante inteligencia artificial.</w:t>
            </w:r>
          </w:p>
        </w:tc>
      </w:tr>
      <w:tr>
        <w:tc>
          <w:tcPr>
            <w:tcW w:type="dxa" w:w="4968"/>
          </w:tcPr>
          <w:p>
            <w:r>
              <w:t>Panel básico y reportes acordados.</w:t>
            </w:r>
          </w:p>
        </w:tc>
        <w:tc>
          <w:tcPr>
            <w:tcW w:type="dxa" w:w="4968"/>
          </w:tcPr>
          <w:p>
            <w:r>
              <w:t>Módulos adicionales no definidos.</w:t>
            </w:r>
          </w:p>
        </w:tc>
      </w:tr>
      <w:tr>
        <w:tc>
          <w:tcPr>
            <w:tcW w:type="dxa" w:w="4968"/>
          </w:tcPr>
          <w:p>
            <w:r>
              <w:t>Pruebas funcionales, capacitación básica y despliegue acordado.</w:t>
            </w:r>
          </w:p>
        </w:tc>
        <w:tc>
          <w:tcPr>
            <w:tcW w:type="dxa" w:w="4968"/>
          </w:tcPr>
          <w:p>
            <w:r>
              <w:t>Migración masiva no evaluada, licencias de terceros y soporte 24/7.</w:t>
            </w:r>
          </w:p>
        </w:tc>
      </w:tr>
    </w:tbl>
    <w:p>
      <w:pPr>
        <w:pStyle w:val="Heading1"/>
      </w:pPr>
      <w:r>
        <w:t>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Petición del cliente</w:t>
            </w:r>
          </w:p>
        </w:tc>
        <w:tc>
          <w:tcPr>
            <w:tcW w:type="dxa" w:w="2484"/>
          </w:tcPr>
          <w:p>
            <w:r>
              <w:t>Concesión posible</w:t>
            </w:r>
          </w:p>
        </w:tc>
        <w:tc>
          <w:tcPr>
            <w:tcW w:type="dxa" w:w="2484"/>
          </w:tcPr>
          <w:p>
            <w:r>
              <w:t>A cambio de</w:t>
            </w:r>
          </w:p>
        </w:tc>
        <w:tc>
          <w:tcPr>
            <w:tcW w:type="dxa" w:w="2484"/>
          </w:tcPr>
          <w:p>
            <w:r>
              <w:t>Límite</w:t>
            </w:r>
          </w:p>
        </w:tc>
      </w:tr>
      <w:tr>
        <w:tc>
          <w:tcPr>
            <w:tcW w:type="dxa" w:w="2484"/>
          </w:tcPr>
          <w:p>
            <w:r>
              <w:t>Precio cerrado en dos días</w:t>
            </w:r>
          </w:p>
        </w:tc>
        <w:tc>
          <w:tcPr>
            <w:tcW w:type="dxa" w:w="2484"/>
          </w:tcPr>
          <w:p>
            <w:r>
              <w:t>Entregar estimación preliminar y precio definitivo tras el descubrimiento.</w:t>
            </w:r>
          </w:p>
        </w:tc>
        <w:tc>
          <w:tcPr>
            <w:tcW w:type="dxa" w:w="2484"/>
          </w:tcPr>
          <w:p>
            <w:r>
              <w:t>Aprobación y pago de la fase inicial.</w:t>
            </w:r>
          </w:p>
        </w:tc>
        <w:tc>
          <w:tcPr>
            <w:tcW w:type="dxa" w:w="2484"/>
          </w:tcPr>
          <w:p>
            <w:r>
              <w:t>No fijar precio definitivo sobre requisitos ambiguos.</w:t>
            </w:r>
          </w:p>
        </w:tc>
      </w:tr>
      <w:tr>
        <w:tc>
          <w:tcPr>
            <w:tcW w:type="dxa" w:w="2484"/>
          </w:tcPr>
          <w:p>
            <w:r>
              <w:t>Más funciones sin costo</w:t>
            </w:r>
          </w:p>
        </w:tc>
        <w:tc>
          <w:tcPr>
            <w:tcW w:type="dxa" w:w="2484"/>
          </w:tcPr>
          <w:p>
            <w:r>
              <w:t>Priorizar funciones esenciales y pasar otras a una fase posterior.</w:t>
            </w:r>
          </w:p>
        </w:tc>
        <w:tc>
          <w:tcPr>
            <w:tcW w:type="dxa" w:w="2484"/>
          </w:tcPr>
          <w:p>
            <w:r>
              <w:t>Aprobación del alcance de la primera versión.</w:t>
            </w:r>
          </w:p>
        </w:tc>
        <w:tc>
          <w:tcPr>
            <w:tcW w:type="dxa" w:w="2484"/>
          </w:tcPr>
          <w:p>
            <w:r>
              <w:t>No ampliar alcance sin ajuste de precio/plazo.</w:t>
            </w:r>
          </w:p>
        </w:tc>
      </w:tr>
      <w:tr>
        <w:tc>
          <w:tcPr>
            <w:tcW w:type="dxa" w:w="2484"/>
          </w:tcPr>
          <w:p>
            <w:r>
              <w:t>Entrega rápida</w:t>
            </w:r>
          </w:p>
        </w:tc>
        <w:tc>
          <w:tcPr>
            <w:tcW w:type="dxa" w:w="2484"/>
          </w:tcPr>
          <w:p>
            <w:r>
              <w:t>Desarrollo por versiones con entregas parciales.</w:t>
            </w:r>
          </w:p>
        </w:tc>
        <w:tc>
          <w:tcPr>
            <w:tcW w:type="dxa" w:w="2484"/>
          </w:tcPr>
          <w:p>
            <w:r>
              <w:t>Entrega oportuna de información, accesos y decisiones del cliente.</w:t>
            </w:r>
          </w:p>
        </w:tc>
        <w:tc>
          <w:tcPr>
            <w:tcW w:type="dxa" w:w="2484"/>
          </w:tcPr>
          <w:p>
            <w:r>
              <w:t>Los retrasos del cliente ajustan el cronograma.</w:t>
            </w:r>
          </w:p>
        </w:tc>
      </w:tr>
      <w:tr>
        <w:tc>
          <w:tcPr>
            <w:tcW w:type="dxa" w:w="2484"/>
          </w:tcPr>
          <w:p>
            <w:r>
              <w:t>Capacitación adicional</w:t>
            </w:r>
          </w:p>
        </w:tc>
        <w:tc>
          <w:tcPr>
            <w:tcW w:type="dxa" w:w="2484"/>
          </w:tcPr>
          <w:p>
            <w:r>
              <w:t>Una sesión remota extra.</w:t>
            </w:r>
          </w:p>
        </w:tc>
        <w:tc>
          <w:tcPr>
            <w:tcW w:type="dxa" w:w="2484"/>
          </w:tcPr>
          <w:p>
            <w:r>
              <w:t>Aprobación de entregables en los plazos pactados.</w:t>
            </w:r>
          </w:p>
        </w:tc>
        <w:tc>
          <w:tcPr>
            <w:tcW w:type="dxa" w:w="2484"/>
          </w:tcPr>
          <w:p>
            <w:r>
              <w:t>Sesiones adicionales se cotizan.</w:t>
            </w:r>
          </w:p>
        </w:tc>
      </w:tr>
    </w:tbl>
    <w:p>
      <w:pPr>
        <w:pStyle w:val="Heading1"/>
      </w:pPr>
      <w:r>
        <w:t>5. Cronograma y pagos propuestos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Fase</w:t>
            </w:r>
          </w:p>
        </w:tc>
        <w:tc>
          <w:tcPr>
            <w:tcW w:type="dxa" w:w="2484"/>
          </w:tcPr>
          <w:p>
            <w:r>
              <w:t>Duración estimada</w:t>
            </w:r>
          </w:p>
        </w:tc>
        <w:tc>
          <w:tcPr>
            <w:tcW w:type="dxa" w:w="2484"/>
          </w:tcPr>
          <w:p>
            <w:r>
              <w:t>Pago</w:t>
            </w:r>
          </w:p>
        </w:tc>
        <w:tc>
          <w:tcPr>
            <w:tcW w:type="dxa" w:w="2484"/>
          </w:tcPr>
          <w:p>
            <w:r>
              <w:t>Entregable/condición</w:t>
            </w:r>
          </w:p>
        </w:tc>
      </w:tr>
      <w:tr>
        <w:tc>
          <w:tcPr>
            <w:tcW w:type="dxa" w:w="2484"/>
          </w:tcPr>
          <w:p>
            <w:r>
              <w:t>Descubrimiento</w:t>
            </w:r>
          </w:p>
        </w:tc>
        <w:tc>
          <w:tcPr>
            <w:tcW w:type="dxa" w:w="2484"/>
          </w:tcPr>
          <w:p>
            <w:r>
              <w:t>2 semanas</w:t>
            </w:r>
          </w:p>
        </w:tc>
        <w:tc>
          <w:tcPr>
            <w:tcW w:type="dxa" w:w="2484"/>
          </w:tcPr>
          <w:p>
            <w:r>
              <w:t>100 % del valor de la fase al inicio o según acuerdo.</w:t>
            </w:r>
          </w:p>
        </w:tc>
        <w:tc>
          <w:tcPr>
            <w:tcW w:type="dxa" w:w="2484"/>
          </w:tcPr>
          <w:p>
            <w:r>
              <w:t>Requisitos priorizados, prototipo, riesgos y estimación.</w:t>
            </w:r>
          </w:p>
        </w:tc>
      </w:tr>
      <w:tr>
        <w:tc>
          <w:tcPr>
            <w:tcW w:type="dxa" w:w="2484"/>
          </w:tcPr>
          <w:p>
            <w:r>
              <w:t>Diseño y aprobación</w:t>
            </w:r>
          </w:p>
        </w:tc>
        <w:tc>
          <w:tcPr>
            <w:tcW w:type="dxa" w:w="2484"/>
          </w:tcPr>
          <w:p>
            <w:r>
              <w:t>2 semanas estimadas</w:t>
            </w:r>
          </w:p>
        </w:tc>
        <w:tc>
          <w:tcPr>
            <w:tcW w:type="dxa" w:w="2484"/>
          </w:tcPr>
          <w:p>
            <w:r>
              <w:t>20 % del desarrollo.</w:t>
            </w:r>
          </w:p>
        </w:tc>
        <w:tc>
          <w:tcPr>
            <w:tcW w:type="dxa" w:w="2484"/>
          </w:tcPr>
          <w:p>
            <w:r>
              <w:t>Diseño y alcance aprobados.</w:t>
            </w:r>
          </w:p>
        </w:tc>
      </w:tr>
      <w:tr>
        <w:tc>
          <w:tcPr>
            <w:tcW w:type="dxa" w:w="2484"/>
          </w:tcPr>
          <w:p>
            <w:r>
              <w:t>Construcción por iteraciones</w:t>
            </w:r>
          </w:p>
        </w:tc>
        <w:tc>
          <w:tcPr>
            <w:tcW w:type="dxa" w:w="2484"/>
          </w:tcPr>
          <w:p>
            <w:r>
              <w:t>Según alcance aprobado</w:t>
            </w:r>
          </w:p>
        </w:tc>
        <w:tc>
          <w:tcPr>
            <w:tcW w:type="dxa" w:w="2484"/>
          </w:tcPr>
          <w:p>
            <w:r>
              <w:t>30 % del desarrollo.</w:t>
            </w:r>
          </w:p>
        </w:tc>
        <w:tc>
          <w:tcPr>
            <w:tcW w:type="dxa" w:w="2484"/>
          </w:tcPr>
          <w:p>
            <w:r>
              <w:t>Versiones demostrables e incrementos funcionales.</w:t>
            </w:r>
          </w:p>
        </w:tc>
      </w:tr>
      <w:tr>
        <w:tc>
          <w:tcPr>
            <w:tcW w:type="dxa" w:w="2484"/>
          </w:tcPr>
          <w:p>
            <w:r>
              <w:t>Pruebas y aceptación</w:t>
            </w:r>
          </w:p>
        </w:tc>
        <w:tc>
          <w:tcPr>
            <w:tcW w:type="dxa" w:w="2484"/>
          </w:tcPr>
          <w:p>
            <w:r>
              <w:t>Según plan acordado</w:t>
            </w:r>
          </w:p>
        </w:tc>
        <w:tc>
          <w:tcPr>
            <w:tcW w:type="dxa" w:w="2484"/>
          </w:tcPr>
          <w:p>
            <w:r>
              <w:t>30 % del desarrollo.</w:t>
            </w:r>
          </w:p>
        </w:tc>
        <w:tc>
          <w:tcPr>
            <w:tcW w:type="dxa" w:w="2484"/>
          </w:tcPr>
          <w:p>
            <w:r>
              <w:t>Pruebas y corrección de defectos incluidos.</w:t>
            </w:r>
          </w:p>
        </w:tc>
      </w:tr>
      <w:tr>
        <w:tc>
          <w:tcPr>
            <w:tcW w:type="dxa" w:w="2484"/>
          </w:tcPr>
          <w:p>
            <w:r>
              <w:t>Despliegue y entrega</w:t>
            </w:r>
          </w:p>
        </w:tc>
        <w:tc>
          <w:tcPr>
            <w:tcW w:type="dxa" w:w="2484"/>
          </w:tcPr>
          <w:p>
            <w:r>
              <w:t>Según cronograma</w:t>
            </w:r>
          </w:p>
        </w:tc>
        <w:tc>
          <w:tcPr>
            <w:tcW w:type="dxa" w:w="2484"/>
          </w:tcPr>
          <w:p>
            <w:r>
              <w:t>20 % restante.</w:t>
            </w:r>
          </w:p>
        </w:tc>
        <w:tc>
          <w:tcPr>
            <w:tcW w:type="dxa" w:w="2484"/>
          </w:tcPr>
          <w:p>
            <w:r>
              <w:t>Acta de aceptación, capacitación y documentación acordada.</w:t>
            </w:r>
          </w:p>
        </w:tc>
      </w:tr>
    </w:tbl>
    <w:p>
      <w:r>
        <w:t>Los porcentajes se aplican al valor del desarrollo posterior a la fase de descubrimiento; deben ajustarse y aprobarse en la propuesta comercial definitiva.</w:t>
      </w:r>
    </w:p>
    <w:p>
      <w:pPr>
        <w:pStyle w:val="Heading1"/>
      </w:pPr>
      <w:r>
        <w:t>6. Documentos priorizados</w:t>
      </w:r>
    </w:p>
    <w:tbl>
      <w:tblPr>
        <w:tblStyle w:val="TableGrid"/>
        <w:tblW w:type="auto" w:w="0"/>
        <w:tblLook w:firstColumn="1" w:firstRow="1" w:lastColumn="0" w:lastRow="0" w:noHBand="0" w:noVBand="1" w:val="04A0"/>
      </w:tblPr>
      <w:tblGrid>
        <w:gridCol w:w="3312"/>
        <w:gridCol w:w="3312"/>
        <w:gridCol w:w="3312"/>
      </w:tblGrid>
      <w:tr>
        <w:tc>
          <w:tcPr>
            <w:tcW w:type="dxa" w:w="3312"/>
          </w:tcPr>
          <w:p>
            <w:r>
              <w:t>Prioridad</w:t>
            </w:r>
          </w:p>
        </w:tc>
        <w:tc>
          <w:tcPr>
            <w:tcW w:type="dxa" w:w="3312"/>
          </w:tcPr>
          <w:p>
            <w:r>
              <w:t>Documento</w:t>
            </w:r>
          </w:p>
        </w:tc>
        <w:tc>
          <w:tcPr>
            <w:tcW w:type="dxa" w:w="3312"/>
          </w:tcPr>
          <w:p>
            <w:r>
              <w:t>Contenido principal</w:t>
            </w:r>
          </w:p>
        </w:tc>
      </w:tr>
      <w:tr>
        <w:tc>
          <w:tcPr>
            <w:tcW w:type="dxa" w:w="3312"/>
          </w:tcPr>
          <w:p>
            <w:r>
              <w:t>1</w:t>
            </w:r>
          </w:p>
        </w:tc>
        <w:tc>
          <w:tcPr>
            <w:tcW w:type="dxa" w:w="3312"/>
          </w:tcPr>
          <w:p>
            <w:r>
              <w:t>Propuesta para fase de descubrimiento</w:t>
            </w:r>
          </w:p>
        </w:tc>
        <w:tc>
          <w:tcPr>
            <w:tcW w:type="dxa" w:w="3312"/>
          </w:tcPr>
          <w:p>
            <w:r>
              <w:t>Objetivos, actividades, duración, precio, entregables, supuestos y responsabilidades.</w:t>
            </w:r>
          </w:p>
        </w:tc>
      </w:tr>
      <w:tr>
        <w:tc>
          <w:tcPr>
            <w:tcW w:type="dxa" w:w="3312"/>
          </w:tcPr>
          <w:p>
            <w:r>
              <w:t>2</w:t>
            </w:r>
          </w:p>
        </w:tc>
        <w:tc>
          <w:tcPr>
            <w:tcW w:type="dxa" w:w="3312"/>
          </w:tcPr>
          <w:p>
            <w:r>
              <w:t>SOW/alcance del proyecto</w:t>
            </w:r>
          </w:p>
        </w:tc>
        <w:tc>
          <w:tcPr>
            <w:tcW w:type="dxa" w:w="3312"/>
          </w:tcPr>
          <w:p>
            <w:r>
              <w:t>Funciones incluidas/excluidas, entregables, dependencias y criterios de aceptación.</w:t>
            </w:r>
          </w:p>
        </w:tc>
      </w:tr>
      <w:tr>
        <w:tc>
          <w:tcPr>
            <w:tcW w:type="dxa" w:w="3312"/>
          </w:tcPr>
          <w:p>
            <w:r>
              <w:t>3</w:t>
            </w:r>
          </w:p>
        </w:tc>
        <w:tc>
          <w:tcPr>
            <w:tcW w:type="dxa" w:w="3312"/>
          </w:tcPr>
          <w:p>
            <w:r>
              <w:t>Documento de requisitos priorizados</w:t>
            </w:r>
          </w:p>
        </w:tc>
        <w:tc>
          <w:tcPr>
            <w:tcW w:type="dxa" w:w="3312"/>
          </w:tcPr>
          <w:p>
            <w:r>
              <w:t>Requisitos funcionales y no funcionales, reglas de negocio y prioridades.</w:t>
            </w:r>
          </w:p>
        </w:tc>
      </w:tr>
      <w:tr>
        <w:tc>
          <w:tcPr>
            <w:tcW w:type="dxa" w:w="3312"/>
          </w:tcPr>
          <w:p>
            <w:r>
              <w:t>4</w:t>
            </w:r>
          </w:p>
        </w:tc>
        <w:tc>
          <w:tcPr>
            <w:tcW w:type="dxa" w:w="3312"/>
          </w:tcPr>
          <w:p>
            <w:r>
              <w:t>Cronograma y plan de pagos</w:t>
            </w:r>
          </w:p>
        </w:tc>
        <w:tc>
          <w:tcPr>
            <w:tcW w:type="dxa" w:w="3312"/>
          </w:tcPr>
          <w:p>
            <w:r>
              <w:t>Fases, hitos, responsables, fechas y pagos asociados.</w:t>
            </w:r>
          </w:p>
        </w:tc>
      </w:tr>
      <w:tr>
        <w:tc>
          <w:tcPr>
            <w:tcW w:type="dxa" w:w="3312"/>
          </w:tcPr>
          <w:p>
            <w:r>
              <w:t>5</w:t>
            </w:r>
          </w:p>
        </w:tc>
        <w:tc>
          <w:tcPr>
            <w:tcW w:type="dxa" w:w="3312"/>
          </w:tcPr>
          <w:p>
            <w:r>
              <w:t>Contrato de desarrollo a medida</w:t>
            </w:r>
          </w:p>
        </w:tc>
        <w:tc>
          <w:tcPr>
            <w:tcW w:type="dxa" w:w="3312"/>
          </w:tcPr>
          <w:p>
            <w:r>
              <w:t>Propiedad intelectual, garantías, confidencialidad, responsabilidades, terminación y aceptación.</w:t>
            </w:r>
          </w:p>
        </w:tc>
      </w:tr>
      <w:tr>
        <w:tc>
          <w:tcPr>
            <w:tcW w:type="dxa" w:w="3312"/>
          </w:tcPr>
          <w:p>
            <w:r>
              <w:t>6</w:t>
            </w:r>
          </w:p>
        </w:tc>
        <w:tc>
          <w:tcPr>
            <w:tcW w:type="dxa" w:w="3312"/>
          </w:tcPr>
          <w:p>
            <w:r>
              <w:t>Procedimiento de control de cambios</w:t>
            </w:r>
          </w:p>
        </w:tc>
        <w:tc>
          <w:tcPr>
            <w:tcW w:type="dxa" w:w="3312"/>
          </w:tcPr>
          <w:p>
            <w:r>
              <w:t>Solicitud, análisis de impacto, aprobación y ajuste de precio/plazo.</w:t>
            </w:r>
          </w:p>
        </w:tc>
      </w:tr>
      <w:tr>
        <w:tc>
          <w:tcPr>
            <w:tcW w:type="dxa" w:w="3312"/>
          </w:tcPr>
          <w:p>
            <w:r>
              <w:t>7</w:t>
            </w:r>
          </w:p>
        </w:tc>
        <w:tc>
          <w:tcPr>
            <w:tcW w:type="dxa" w:w="3312"/>
          </w:tcPr>
          <w:p>
            <w:r>
              <w:t>Ficha técnica y de seguridad</w:t>
            </w:r>
          </w:p>
        </w:tc>
        <w:tc>
          <w:tcPr>
            <w:tcW w:type="dxa" w:w="3312"/>
          </w:tcPr>
          <w:p>
            <w:r>
              <w:t>Accesos, datos, infraestructura, respaldos y controles acordados.</w:t>
            </w:r>
          </w:p>
        </w:tc>
      </w:tr>
      <w:tr>
        <w:tc>
          <w:tcPr>
            <w:tcW w:type="dxa" w:w="3312"/>
          </w:tcPr>
          <w:p>
            <w:r>
              <w:t>8</w:t>
            </w:r>
          </w:p>
        </w:tc>
        <w:tc>
          <w:tcPr>
            <w:tcW w:type="dxa" w:w="3312"/>
          </w:tcPr>
          <w:p>
            <w:r>
              <w:t>Plan de pruebas y acta de aceptación</w:t>
            </w:r>
          </w:p>
        </w:tc>
        <w:tc>
          <w:tcPr>
            <w:tcW w:type="dxa" w:w="3312"/>
          </w:tcPr>
          <w:p>
            <w:r>
              <w:t>Casos de prueba, defectos, criterios de aprobación y entrega.</w:t>
            </w:r>
          </w:p>
        </w:tc>
      </w:tr>
      <w:tr>
        <w:tc>
          <w:tcPr>
            <w:tcW w:type="dxa" w:w="3312"/>
          </w:tcPr>
          <w:p>
            <w:r>
              <w:t>9</w:t>
            </w:r>
          </w:p>
        </w:tc>
        <w:tc>
          <w:tcPr>
            <w:tcW w:type="dxa" w:w="3312"/>
          </w:tcPr>
          <w:p>
            <w:r>
              <w:t>NDA</w:t>
            </w:r>
          </w:p>
        </w:tc>
        <w:tc>
          <w:tcPr>
            <w:tcW w:type="dxa" w:w="3312"/>
          </w:tcPr>
          <w:p>
            <w:r>
              <w:t>Protección de procesos, datos y documentación del cliente.</w:t>
            </w:r>
          </w:p>
        </w:tc>
      </w:tr>
    </w:tbl>
    <w:p>
      <w:pPr>
        <w:pStyle w:val="Heading1"/>
      </w:pPr>
      <w:r>
        <w:t>7. Cláusula propuesta: control de cambios</w:t>
      </w:r>
    </w:p>
    <w:p>
      <w:r>
        <w:t>“Toda solicitud que modifique funcionalidades, integraciones, entregables, criterios de aceptación o fechas deberá presentarse por escrito. El proveedor evaluará su impacto en alcance, costo, recursos y cronograma y enviará una propuesta de cambio. Ninguna modificación será obligatoria hasta que ambas partes la aprueben por escrito. Los trabajos adicionales se facturarán conforme a la cotización aprobada y podrán modificar las fechas de entrega.”</w:t>
      </w:r>
    </w:p>
    <w:p>
      <w:pPr>
        <w:pStyle w:val="Heading1"/>
      </w:pPr>
      <w:r>
        <w:t>8. Respuesta a la solicitud de precio cerrado</w:t>
      </w:r>
    </w:p>
    <w:p>
      <w:r>
        <w:t>Con la información actual podemos entregar una estimación preliminar, pero no es responsable fijar un precio definitivo porque aún no están definidos los requisitos, las integraciones ni los criterios de aceptación. Proponemos iniciar con dos semanas de descubrimiento, que permitirán delimitar una primera versión, identificar riesgos y presentar una oferta por fases con costos y fechas sustentados.</w:t>
      </w:r>
    </w:p>
    <w:p>
      <w:pPr>
        <w:pStyle w:val="Heading1"/>
      </w:pPr>
      <w:r>
        <w:t>9. Objeciones y respuestas</w:t>
      </w:r>
    </w:p>
    <w:p>
      <w:pPr>
        <w:pStyle w:val="ListBullet"/>
      </w:pPr>
      <w:r>
        <w:t>“Debe incluir todo”: definiremos primero qué significa “todo” mediante requisitos y prioridades verificables.</w:t>
      </w:r>
    </w:p>
    <w:p>
      <w:pPr>
        <w:pStyle w:val="ListBullet"/>
      </w:pPr>
      <w:r>
        <w:t>“No pagaremos por analizar”: la fase reduce el riesgo de sobrecostos y evita comprometer un precio que luego no corresponda al alcance real.</w:t>
      </w:r>
    </w:p>
    <w:p>
      <w:pPr>
        <w:pStyle w:val="ListBullet"/>
      </w:pPr>
      <w:r>
        <w:t>“El precio no puede cambiar”: el precio de cada fase aprobada se mantendrá; los cambios solicitados se evaluarán y aprobarán antes de ejecutarse.</w:t>
      </w:r>
    </w:p>
    <w:p>
      <w:pPr>
        <w:pStyle w:val="Heading1"/>
      </w:pPr>
      <w:r>
        <w:t>10. Conclusión</w:t>
      </w:r>
    </w:p>
    <w:p>
      <w:r>
        <w:t>La fase de descubrimiento permite transformar una solicitud ambigua en un alcance verificable. El SOW, el cronograma de pagos y el control de cambios reducen desacuerdos y protegen a ambas partes.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