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NEGOCIACIÓN DE SOFTWARE:</w:t>
        <w:br/>
        <w:t>CASO 4. DESARROLLO A MEDIDA PARA UNA ENTIDAD PÚBLICA</w:t>
      </w:r>
    </w:p>
    <w:p>
      <w:pPr>
        <w:jc w:val="center"/>
      </w:pPr>
      <w:r>
        <w:rPr>
          <w:b/>
        </w:rPr>
        <w:t>Soluciones Digitales Andinas S.A.S.</w:t>
      </w:r>
    </w:p>
    <w:p>
      <w:r>
        <w:t>Actividad académica – Análisis y Desarrollo de Software, SENA</w:t>
      </w:r>
    </w:p>
    <w:p>
      <w:r>
        <w:t>Aprendiz: ______________________________</w:t>
      </w:r>
    </w:p>
    <w:p>
      <w:r>
        <w:t>Fecha: ______________________________</w:t>
      </w:r>
    </w:p>
    <w:p>
      <w:r>
        <w:t>Nota: los escenarios, nombres y valores son ficticios y se presentan con fines educativos.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  <w:p>
      <w:pPr>
        <w:pStyle w:val="Heading1"/>
      </w:pPr>
      <w:r>
        <w:t>CASO 4. DESARROLLO A MEDIDA PARA UNA ENTIDAD PÚBLICA</w:t>
      </w:r>
    </w:p>
    <w:p>
      <w:pPr>
        <w:pStyle w:val="Heading2"/>
      </w:pPr>
      <w:r>
        <w:t>4.1. Situación</w:t>
      </w:r>
    </w:p>
    <w:p>
      <w:r>
        <w:t>La Alcaldía ficticia de Villa Esperanza publica un proceso para contratar un sistema de gestión de trámites. Los estudios previos son ambiguos y solicitan cesión total de los derechos patrimoniales, sin diferenciar entre desarrollos nuevos y herramientas que el proveedor ya tenía. En una contratación pública se deben respetar el procedimiento, la transparencia, los documentos del proceso y los plazos establecidos.</w:t>
      </w:r>
    </w:p>
    <w:p>
      <w:pPr>
        <w:pStyle w:val="Heading2"/>
      </w:pPr>
      <w:r>
        <w:t>4.2. Observaciones al proyecto de pliego</w:t>
      </w:r>
    </w:p>
    <w:p>
      <w:pPr>
        <w:pStyle w:val="ListNumber"/>
      </w:pPr>
      <w:r>
        <w:t>Solicitar que se precise el alcance funcional, los trámites que se digitalizarán y los perfiles de usuario.</w:t>
      </w:r>
    </w:p>
    <w:p>
      <w:pPr>
        <w:pStyle w:val="ListNumber"/>
      </w:pPr>
      <w:r>
        <w:t>Pedir criterios verificables de aceptación para cada entregable.</w:t>
      </w:r>
    </w:p>
    <w:p>
      <w:pPr>
        <w:pStyle w:val="ListNumber"/>
      </w:pPr>
      <w:r>
        <w:t>Solicitar claridad sobre integraciones, migración de datos, infraestructura y licencias de terceros.</w:t>
      </w:r>
    </w:p>
    <w:p>
      <w:pPr>
        <w:pStyle w:val="ListNumber"/>
      </w:pPr>
      <w:r>
        <w:t>Pedir que se diferencie la propiedad intelectual del desarrollo creado específicamente para la entidad de los componentes preexistentes del proveedor.</w:t>
      </w:r>
    </w:p>
    <w:p>
      <w:pPr>
        <w:pStyle w:val="ListNumber"/>
      </w:pPr>
      <w:r>
        <w:t>Solicitar que se especifique si la cesión es exclusiva, qué derechos comprende, territorio, duración y usos permitidos.</w:t>
      </w:r>
    </w:p>
    <w:p>
      <w:pPr>
        <w:pStyle w:val="ListNumber"/>
      </w:pPr>
      <w:r>
        <w:t>Pedir un cronograma realista con dependencias, entregas parciales y tiempo de revisión por parte de la entidad.</w:t>
      </w:r>
    </w:p>
    <w:p>
      <w:pPr>
        <w:pStyle w:val="ListNumber"/>
      </w:pPr>
      <w:r>
        <w:t>Solicitar que se definan soporte, garantía, mantenimiento y niveles de servicio posteriores a la puesta en producción.</w:t>
      </w:r>
    </w:p>
    <w:p>
      <w:pPr>
        <w:pStyle w:val="ListNumber"/>
      </w:pPr>
      <w:r>
        <w:t>Pedir que se aclaren requisitos de seguridad, tratamiento de datos, interoperabilidad, copias de respaldo y continuidad.</w:t>
      </w:r>
    </w:p>
    <w:p>
      <w:pPr>
        <w:pStyle w:val="ListNumber"/>
      </w:pPr>
      <w:r>
        <w:t>Solicitar que la forma de pago esté asociada a entregables verificables y al procedimiento presupuestal aplicable.</w:t>
      </w:r>
    </w:p>
    <w:p>
      <w:pPr>
        <w:pStyle w:val="ListNumber"/>
      </w:pPr>
      <w:r>
        <w:t>Presentar todas las observaciones por el canal oficial y dentro del plazo del proceso, sin buscar ventajas indebidas.</w:t>
      </w:r>
    </w:p>
    <w:p>
      <w:pPr>
        <w:pStyle w:val="Heading2"/>
      </w:pPr>
      <w:r>
        <w:t>4.3. Documentos habilitantes y de propuesta</w:t>
      </w:r>
    </w:p>
    <w:p>
      <w:pPr>
        <w:pStyle w:val="ListNumber"/>
      </w:pPr>
      <w:r>
        <w:t>Registro Único de Proponentes (RUP), cuando sea exigible, vigente y renovado según las reglas aplicables.</w:t>
      </w:r>
    </w:p>
    <w:p>
      <w:pPr>
        <w:pStyle w:val="ListNumber"/>
      </w:pPr>
      <w:r>
        <w:t>Certificado de existencia y representación legal actualizado.</w:t>
      </w:r>
    </w:p>
    <w:p>
      <w:pPr>
        <w:pStyle w:val="ListNumber"/>
      </w:pPr>
      <w:r>
        <w:t>Registro Único Tributario (RUT) actualizado.</w:t>
      </w:r>
    </w:p>
    <w:p>
      <w:pPr>
        <w:pStyle w:val="ListNumber"/>
      </w:pPr>
      <w:r>
        <w:t>Certificaciones de pago de aportes a seguridad social y parafiscales, según corresponda.</w:t>
      </w:r>
    </w:p>
    <w:p>
      <w:pPr>
        <w:pStyle w:val="ListNumber"/>
      </w:pPr>
      <w:r>
        <w:t>Antecedentes y demás documentos habilitantes exigidos en el proceso.</w:t>
      </w:r>
    </w:p>
    <w:p>
      <w:pPr>
        <w:pStyle w:val="ListNumber"/>
      </w:pPr>
      <w:r>
        <w:t>Garantía de seriedad de la oferta, cuando el pliego la solicite.</w:t>
      </w:r>
    </w:p>
    <w:p>
      <w:pPr>
        <w:pStyle w:val="ListNumber"/>
      </w:pPr>
      <w:r>
        <w:t>Certificaciones de experiencia relacionadas con el objeto contractual.</w:t>
      </w:r>
    </w:p>
    <w:p>
      <w:pPr>
        <w:pStyle w:val="ListNumber"/>
      </w:pPr>
      <w:r>
        <w:t>Oferta técnica que responda punto por punto a los requisitos.</w:t>
      </w:r>
    </w:p>
    <w:p>
      <w:pPr>
        <w:pStyle w:val="ListNumber"/>
      </w:pPr>
      <w:r>
        <w:t>Oferta económica revisada, con impuestos y operaciones verificadas.</w:t>
      </w:r>
    </w:p>
    <w:p>
      <w:pPr>
        <w:pStyle w:val="ListNumber"/>
      </w:pPr>
      <w:r>
        <w:t>Equipo de trabajo y hojas de vida, cuando se exijan.</w:t>
      </w:r>
    </w:p>
    <w:p>
      <w:pPr>
        <w:pStyle w:val="ListNumber"/>
      </w:pPr>
      <w:r>
        <w:t>Lectura de estudios previos, proyecto de pliego, pliego definitivo, anexos, minuta y adendas.</w:t>
      </w:r>
    </w:p>
    <w:p>
      <w:pPr>
        <w:pStyle w:val="ListNumber"/>
      </w:pPr>
      <w:r>
        <w:t>Garantías de cumplimiento, calidad u otras que establezca el contrato.</w:t>
      </w:r>
    </w:p>
    <w:p>
      <w:r>
        <w:t>La lista definitiva debe ajustarse a la modalidad y a los documentos concretos del proceso; no todos los requisitos aplican de forma idéntica en todas las contrataciones.</w:t>
      </w:r>
    </w:p>
    <w:p>
      <w:pPr>
        <w:pStyle w:val="Heading2"/>
      </w:pPr>
      <w:r>
        <w:t>4.4. Protección de componentes preexistentes y costo de cesión</w:t>
      </w:r>
    </w:p>
    <w:p>
      <w:r>
        <w:t>Soluciones Digitales Andinas propondrá separar: (a) los entregables desarrollados específicamente para la Alcaldía; (b) las herramientas, bibliotecas, plantillas, módulos reutilizables y conocimientos que ya pertenecían al proveedor; y (c) los componentes de terceros sujetos a sus propias licencias. La entidad recibirá los derechos de uso o los derechos patrimoniales que se definan expresamente para los entregables nuevos, según lo permitido por el proceso y el contrato. Los componentes preexistentes se conservarán como propiedad del proveedor, otorgando a la entidad una licencia suficiente para utilizar el sistema contratado.</w:t>
      </w:r>
    </w:p>
    <w:p>
      <w:r>
        <w:t>Para efectos didácticos, se estima que el desarrollo tiene un valor de COP $180.000.000 y que una cesión amplia y exclusiva de derechos patrimoniales sobre los entregables nuevos podría cotizarse adicionalmente en COP $35.000.000, sujeto a análisis de alcance, titularidad, exclusividad y condiciones del pliego. Esta cifra es ilustrativa, no una tarifa legal ni una cotización real. Si la entidad exige cesión total de todo componente preexistente, se debe evaluar el costo y la viabilidad antes de presentar oferta.</w:t>
      </w:r>
    </w:p>
    <w:p>
      <w:pPr>
        <w:pStyle w:val="Heading2"/>
      </w:pPr>
      <w:r>
        <w:t>4.5. Plan de concesiones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Tema solicitado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Posición de negociación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Alternativa o condición</w:t>
            </w:r>
          </w:p>
        </w:tc>
      </w:tr>
      <w:tr>
        <w:tc>
          <w:tcPr>
            <w:tcW w:type="dxa" w:w="3312"/>
          </w:tcPr>
          <w:p>
            <w:r>
              <w:t>Cesión total de derechos</w:t>
            </w:r>
          </w:p>
        </w:tc>
        <w:tc>
          <w:tcPr>
            <w:tcW w:type="dxa" w:w="3312"/>
          </w:tcPr>
          <w:p>
            <w:r>
              <w:t>Solicitar precisión y separar desarrollo nuevo de componentes preexistentes.</w:t>
            </w:r>
          </w:p>
        </w:tc>
        <w:tc>
          <w:tcPr>
            <w:tcW w:type="dxa" w:w="3312"/>
          </w:tcPr>
          <w:p>
            <w:r>
              <w:t>Cotizar derechos adicionales si el marco del proceso permite hacerlo.</w:t>
            </w:r>
          </w:p>
        </w:tc>
      </w:tr>
      <w:tr>
        <w:tc>
          <w:tcPr>
            <w:tcW w:type="dxa" w:w="3312"/>
          </w:tcPr>
          <w:p>
            <w:r>
              <w:t>Plazo corto</w:t>
            </w:r>
          </w:p>
        </w:tc>
        <w:tc>
          <w:tcPr>
            <w:tcW w:type="dxa" w:w="3312"/>
          </w:tcPr>
          <w:p>
            <w:r>
              <w:t>Proponer cronograma por hitos basado en alcance verificable.</w:t>
            </w:r>
          </w:p>
        </w:tc>
        <w:tc>
          <w:tcPr>
            <w:tcW w:type="dxa" w:w="3312"/>
          </w:tcPr>
          <w:p>
            <w:r>
              <w:t>Ajustar estimación con aclaraciones y dependencias.</w:t>
            </w:r>
          </w:p>
        </w:tc>
      </w:tr>
      <w:tr>
        <w:tc>
          <w:tcPr>
            <w:tcW w:type="dxa" w:w="3312"/>
          </w:tcPr>
          <w:p>
            <w:r>
              <w:t>Estudios previos ambiguos</w:t>
            </w:r>
          </w:p>
        </w:tc>
        <w:tc>
          <w:tcPr>
            <w:tcW w:type="dxa" w:w="3312"/>
          </w:tcPr>
          <w:p>
            <w:r>
              <w:t>Presentar observaciones formales.</w:t>
            </w:r>
          </w:p>
        </w:tc>
        <w:tc>
          <w:tcPr>
            <w:tcW w:type="dxa" w:w="3312"/>
          </w:tcPr>
          <w:p>
            <w:r>
              <w:t>No asumir requisitos no definidos sin reflejarlos en oferta y riesgos.</w:t>
            </w:r>
          </w:p>
        </w:tc>
      </w:tr>
      <w:tr>
        <w:tc>
          <w:tcPr>
            <w:tcW w:type="dxa" w:w="3312"/>
          </w:tcPr>
          <w:p>
            <w:r>
              <w:t>Penalidades amplias</w:t>
            </w:r>
          </w:p>
        </w:tc>
        <w:tc>
          <w:tcPr>
            <w:tcW w:type="dxa" w:w="3312"/>
          </w:tcPr>
          <w:p>
            <w:r>
              <w:t>Revisar proporcionalidad y relación con obligaciones controlables.</w:t>
            </w:r>
          </w:p>
        </w:tc>
        <w:tc>
          <w:tcPr>
            <w:tcW w:type="dxa" w:w="3312"/>
          </w:tcPr>
          <w:p>
            <w:r>
              <w:t>Solicitar claridad sobre topes, procedimiento y causales en etapa permitida.</w:t>
            </w:r>
          </w:p>
        </w:tc>
      </w:tr>
      <w:tr>
        <w:tc>
          <w:tcPr>
            <w:tcW w:type="dxa" w:w="3312"/>
          </w:tcPr>
          <w:p>
            <w:r>
              <w:t>Pagos tardíos</w:t>
            </w:r>
          </w:p>
        </w:tc>
        <w:tc>
          <w:tcPr>
            <w:tcW w:type="dxa" w:w="3312"/>
          </w:tcPr>
          <w:p>
            <w:r>
              <w:t>Calcular flujo de caja y costos financieros.</w:t>
            </w:r>
          </w:p>
        </w:tc>
        <w:tc>
          <w:tcPr>
            <w:tcW w:type="dxa" w:w="3312"/>
          </w:tcPr>
          <w:p>
            <w:r>
              <w:t>No ofertar por debajo de costos y obligaciones exigidas.</w:t>
            </w:r>
          </w:p>
        </w:tc>
      </w:tr>
    </w:tbl>
    <w:p/>
    <w:p>
      <w:pPr>
        <w:pStyle w:val="Heading2"/>
      </w:pPr>
      <w:r>
        <w:t>4.6. Documentos priorizados</w:t>
      </w:r>
    </w:p>
    <w:p>
      <w:pPr>
        <w:pStyle w:val="ListNumber"/>
      </w:pPr>
      <w:r>
        <w:t>Análisis de los estudios previos, pliego, anexos, minuta y adendas.</w:t>
      </w:r>
    </w:p>
    <w:p>
      <w:pPr>
        <w:pStyle w:val="ListNumber"/>
      </w:pPr>
      <w:r>
        <w:t>Matriz de requisitos y observaciones al proyecto de pliego.</w:t>
      </w:r>
    </w:p>
    <w:p>
      <w:pPr>
        <w:pStyle w:val="ListNumber"/>
      </w:pPr>
      <w:r>
        <w:t>Documentos habilitantes y certificados vigentes.</w:t>
      </w:r>
    </w:p>
    <w:p>
      <w:pPr>
        <w:pStyle w:val="ListNumber"/>
      </w:pPr>
      <w:r>
        <w:t>Propuesta técnica detallada y matriz de cumplimiento.</w:t>
      </w:r>
    </w:p>
    <w:p>
      <w:pPr>
        <w:pStyle w:val="ListNumber"/>
      </w:pPr>
      <w:r>
        <w:t>Oferta económica y análisis de costos.</w:t>
      </w:r>
    </w:p>
    <w:p>
      <w:pPr>
        <w:pStyle w:val="ListNumber"/>
      </w:pPr>
      <w:r>
        <w:t>Plan de trabajo, cronograma e hitos de entrega.</w:t>
      </w:r>
    </w:p>
    <w:p>
      <w:pPr>
        <w:pStyle w:val="ListNumber"/>
      </w:pPr>
      <w:r>
        <w:t>Definición de propiedad intelectual y relación de componentes preexistentes.</w:t>
      </w:r>
    </w:p>
    <w:p>
      <w:pPr>
        <w:pStyle w:val="ListNumber"/>
      </w:pPr>
      <w:r>
        <w:t>Ficha técnica y de seguridad, incluyendo tratamiento de datos.</w:t>
      </w:r>
    </w:p>
    <w:p>
      <w:pPr>
        <w:pStyle w:val="ListNumber"/>
      </w:pPr>
      <w:r>
        <w:t>Garantías exigidas y documentos del equipo de trabajo.</w:t>
      </w:r>
    </w:p>
    <w:p>
      <w:pPr>
        <w:pStyle w:val="ListNumber"/>
      </w:pPr>
      <w:r>
        <w:t>Plan de pruebas, aceptación, soporte, mantenimiento y transferencia de conocimiento.</w:t>
      </w:r>
    </w:p>
    <w:p>
      <w:pPr>
        <w:pStyle w:val="Heading2"/>
      </w:pPr>
      <w:r>
        <w:t>4.7. Cláusula redactada: propiedad intelectual en desarrollo público</w:t>
      </w:r>
    </w:p>
    <w:p>
      <w:r>
        <w:t>“Los derechos patrimoniales sobre los entregables creados específicamente para la entidad en ejecución del contrato se regirán por el alcance de la cesión expresamente definido en el contrato y por las normas aplicables. Se excluyen de dicha cesión las herramientas, metodologías, bibliotecas, módulos genéricos, plantillas, conocimientos técnicos y demás componentes desarrollados o adquiridos por el proveedor con anterioridad o de manera independiente, así como los componentes de terceros sujetos a sus respectivas licencias. Respecto de los componentes preexistentes incorporados en la solución, el proveedor otorgará a la entidad una licencia de uso no exclusiva, por el término y con el alcance necesarios para operar los entregables contratados, de acuerdo con las condiciones pactadas. La relación de componentes y licencias se documentará en un anexo técnico. La presente cláusula deberá armonizarse con el pliego definitivo y la minuta contractual aplicable.”</w:t>
      </w:r>
    </w:p>
    <w:p>
      <w:pPr>
        <w:pStyle w:val="Heading2"/>
      </w:pPr>
      <w:r>
        <w:t>4.8. Cierre del caso</w:t>
      </w:r>
    </w:p>
    <w:p>
      <w:r>
        <w:t>La empresa debe actuar mediante los canales oficiales del proceso, presentar observaciones oportunas y revisar cuidadosamente los requisitos habilitantes, las garantías, el flujo de caja y la propiedad intelectual. No debe realizar acuerdos informales que afecten la transparencia del procedimiento.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Soluciones Digitales Andinas S.A.S. | Actividad académica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