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NEGOCIACIÓN DE SOFTWARE</w:t>
        <w:br/>
        <w:t>SECTOR PRIVADO: CASOS 1, 2 Y 3</w:t>
      </w:r>
    </w:p>
    <w:p>
      <w:pPr>
        <w:jc w:val="center"/>
      </w:pPr>
      <w:r>
        <w:rPr>
          <w:b/>
        </w:rPr>
        <w:t>Soluciones Digitales Andinas S.A.S.</w:t>
      </w:r>
    </w:p>
    <w:p>
      <w:r>
        <w:t>Actividad académica – Análisis y Desarrollo de Software, SENA</w:t>
      </w:r>
    </w:p>
    <w:p>
      <w:r>
        <w:t>Aprendiz: ______________________________</w:t>
      </w:r>
    </w:p>
    <w:p>
      <w:r>
        <w:t>Fecha: ______________________________</w:t>
      </w:r>
    </w:p>
    <w:p>
      <w:r>
        <w:br w:type="page"/>
      </w:r>
    </w:p>
    <w:sectPr w:rsidR="00FC693F" w:rsidRPr="0006063C" w:rsidSect="00034616">
      <w:footerReference w:type="default" r:id="rId9"/>
      <w:pgSz w:w="12240" w:h="15840"/>
      <w:pgMar w:top="1008" w:right="1152" w:bottom="1008" w:left="1152" w:header="720" w:footer="720" w:gutter="0"/>
      <w:cols w:space="720"/>
      <w:docGrid w:linePitch="360"/>
    </w:sectPr>
    <w:p>
      <w:pPr>
        <w:pStyle w:val="Heading1"/>
      </w:pPr>
      <w:r>
        <w:t>CASO 1. LICENCIA DE SOFTWARE PARA CLIENTE PRIVADO</w:t>
      </w:r>
    </w:p>
    <w:p>
      <w:pPr>
        <w:pStyle w:val="Heading2"/>
      </w:pPr>
      <w:r>
        <w:t>1.1. Situación</w:t>
      </w:r>
    </w:p>
    <w:p>
      <w:r>
        <w:t>La cadena ficticia FerreRed S.A.S., que cuenta con 10 sedes en Colombia, desea adquirir una licencia de un sistema de inventario y ventas. Solicita un descuento del 20 %, pago a 90 días y entrega del código fuente. Soluciones Digitales Andinas debe proponer condiciones que permitan cerrar la venta sin poner en riesgo la rentabilidad ni entregar gratuitamente sus activos tecnológicos.</w:t>
      </w:r>
    </w:p>
    <w:p>
      <w:pPr>
        <w:pStyle w:val="Heading2"/>
      </w:pPr>
      <w:r>
        <w:t>1.2. Análisis de la contraparte</w:t>
      </w:r>
    </w:p>
    <w:p>
      <w:pPr>
        <w:pStyle w:val="ListBullet"/>
      </w:pPr>
      <w:r>
        <w:t>Cliente: FerreRed S.A.S., empresa privada con 10 sedes.</w:t>
      </w:r>
    </w:p>
    <w:p>
      <w:pPr>
        <w:pStyle w:val="ListBullet"/>
      </w:pPr>
      <w:r>
        <w:t>Necesidad: controlar inventarios, entradas y salidas, ventas y reportes desde un sistema centralizado.</w:t>
      </w:r>
    </w:p>
    <w:p>
      <w:pPr>
        <w:pStyle w:val="ListBullet"/>
      </w:pPr>
      <w:r>
        <w:t>Decisores probables: gerencia, área financiera y responsable de tecnología.</w:t>
      </w:r>
    </w:p>
    <w:p>
      <w:pPr>
        <w:pStyle w:val="ListBullet"/>
      </w:pPr>
      <w:r>
        <w:t>Intereses del comprador: reducir costos, controlar sus sedes y asegurar continuidad del sistema.</w:t>
      </w:r>
    </w:p>
    <w:p>
      <w:pPr>
        <w:pStyle w:val="ListBullet"/>
      </w:pPr>
      <w:r>
        <w:t>Intereses del vendedor: vender licencias, cobrar oportunamente y conservar la propiedad intelectual.</w:t>
      </w:r>
    </w:p>
    <w:p>
      <w:pPr>
        <w:pStyle w:val="ListBullet"/>
      </w:pPr>
      <w:r>
        <w:t>Riesgos: descuento excesivo, retraso en el pago y entrega no pactada del código fuente.</w:t>
      </w:r>
    </w:p>
    <w:p>
      <w:pPr>
        <w:pStyle w:val="Heading2"/>
      </w:pPr>
      <w:r>
        <w:t>1.3. Precio piso, BATNA y ZOPA</w:t>
      </w:r>
    </w:p>
    <w:tbl>
      <w:tblPr>
        <w:tblStyle w:val="TableGrid"/>
        <w:tblW w:type="auto" w:w="0"/>
        <w:tblLook w:firstColumn="1" w:firstRow="1" w:lastColumn="0" w:lastRow="0" w:noHBand="0" w:noVBand="1" w:val="04A0"/>
      </w:tblPr>
      <w:tblGrid>
        <w:gridCol w:w="4968"/>
        <w:gridCol w:w="4968"/>
      </w:tblGrid>
      <w:tr>
        <w:tc>
          <w:tcPr>
            <w:tcW w:type="dxa" w:w="4968"/>
          </w:tcPr>
          <w:p>
            <w:r>
              <w:rPr>
                <w:b/>
              </w:rPr>
              <w:t>Concepto</w:t>
            </w:r>
          </w:p>
        </w:tc>
        <w:tc>
          <w:tcPr>
            <w:tcW w:type="dxa" w:w="4968"/>
          </w:tcPr>
          <w:p>
            <w:r>
              <w:rPr>
                <w:b/>
              </w:rPr>
              <w:t>Propuesta</w:t>
            </w:r>
          </w:p>
        </w:tc>
      </w:tr>
      <w:tr>
        <w:tc>
          <w:tcPr>
            <w:tcW w:type="dxa" w:w="4968"/>
          </w:tcPr>
          <w:p>
            <w:r>
              <w:t>Precio de lista</w:t>
            </w:r>
          </w:p>
        </w:tc>
        <w:tc>
          <w:tcPr>
            <w:tcW w:type="dxa" w:w="4968"/>
          </w:tcPr>
          <w:p>
            <w:r>
              <w:t>COP $8.000.000 por sede; total para 10 sedes: $80.000.000.</w:t>
            </w:r>
          </w:p>
        </w:tc>
      </w:tr>
      <w:tr>
        <w:tc>
          <w:tcPr>
            <w:tcW w:type="dxa" w:w="4968"/>
          </w:tcPr>
          <w:p>
            <w:r>
              <w:t>Descuento máximo ordinario</w:t>
            </w:r>
          </w:p>
        </w:tc>
        <w:tc>
          <w:tcPr>
            <w:tcW w:type="dxa" w:w="4968"/>
          </w:tcPr>
          <w:p>
            <w:r>
              <w:t>12 %, condicionado a pago anticipado y compra de las 10 licencias.</w:t>
            </w:r>
          </w:p>
        </w:tc>
      </w:tr>
      <w:tr>
        <w:tc>
          <w:tcPr>
            <w:tcW w:type="dxa" w:w="4968"/>
          </w:tcPr>
          <w:p>
            <w:r>
              <w:t>Precio objetivo</w:t>
            </w:r>
          </w:p>
        </w:tc>
        <w:tc>
          <w:tcPr>
            <w:tcW w:type="dxa" w:w="4968"/>
          </w:tcPr>
          <w:p>
            <w:r>
              <w:t>COP $72.000.000 por las 10 sedes, con descuento del 10 %.</w:t>
            </w:r>
          </w:p>
        </w:tc>
      </w:tr>
      <w:tr>
        <w:tc>
          <w:tcPr>
            <w:tcW w:type="dxa" w:w="4968"/>
          </w:tcPr>
          <w:p>
            <w:r>
              <w:t>Precio piso</w:t>
            </w:r>
          </w:p>
        </w:tc>
        <w:tc>
          <w:tcPr>
            <w:tcW w:type="dxa" w:w="4968"/>
          </w:tcPr>
          <w:p>
            <w:r>
              <w:t>COP $70.400.000, equivalente al 12 % de descuento; no incluye cesión de código fuente.</w:t>
            </w:r>
          </w:p>
        </w:tc>
      </w:tr>
      <w:tr>
        <w:tc>
          <w:tcPr>
            <w:tcW w:type="dxa" w:w="4968"/>
          </w:tcPr>
          <w:p>
            <w:r>
              <w:t>BATNA del vendedor</w:t>
            </w:r>
          </w:p>
        </w:tc>
        <w:tc>
          <w:tcPr>
            <w:tcW w:type="dxa" w:w="4968"/>
          </w:tcPr>
          <w:p>
            <w:r>
              <w:t>Ofrecer el sistema a otros clientes y negociar con FerreRed una implementación por fases.</w:t>
            </w:r>
          </w:p>
        </w:tc>
      </w:tr>
      <w:tr>
        <w:tc>
          <w:tcPr>
            <w:tcW w:type="dxa" w:w="4968"/>
          </w:tcPr>
          <w:p>
            <w:r>
              <w:t>BATNA del comprador</w:t>
            </w:r>
          </w:p>
        </w:tc>
        <w:tc>
          <w:tcPr>
            <w:tcW w:type="dxa" w:w="4968"/>
          </w:tcPr>
          <w:p>
            <w:r>
              <w:t>Comparar otros sistemas de inventario o mantener temporalmente su proceso actual.</w:t>
            </w:r>
          </w:p>
        </w:tc>
      </w:tr>
      <w:tr>
        <w:tc>
          <w:tcPr>
            <w:tcW w:type="dxa" w:w="4968"/>
          </w:tcPr>
          <w:p>
            <w:r>
              <w:t>ZOPA estimada</w:t>
            </w:r>
          </w:p>
        </w:tc>
        <w:tc>
          <w:tcPr>
            <w:tcW w:type="dxa" w:w="4968"/>
          </w:tcPr>
          <w:p>
            <w:r>
              <w:t>Entre $70.400.000 y el máximo que FerreRed apruebe; debe confirmarse en la negociación.</w:t>
            </w:r>
          </w:p>
        </w:tc>
      </w:tr>
    </w:tbl>
    <w:p/>
    <w:p>
      <w:r>
        <w:t>Argumento de valor: si el sistema ayuda a reducir pérdidas de inventario, errores y tiempo de elaboración de reportes, puede generar ahorros operativos. Estos beneficios deben validarse con datos reales del cliente antes de prometer un ROI específico.</w:t>
      </w:r>
    </w:p>
    <w:p>
      <w:pPr>
        <w:pStyle w:val="Heading2"/>
      </w:pPr>
      <w:r>
        <w:t>1.4. Plan de concesiones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Petición del cliente</w:t>
            </w:r>
          </w:p>
        </w:tc>
        <w:tc>
          <w:tcPr>
            <w:tcW w:type="dxa" w:w="2484"/>
          </w:tcPr>
          <w:p>
            <w:r>
              <w:rPr>
                <w:b/>
              </w:rPr>
              <w:t>Concesión posible</w:t>
            </w:r>
          </w:p>
        </w:tc>
        <w:tc>
          <w:tcPr>
            <w:tcW w:type="dxa" w:w="2484"/>
          </w:tcPr>
          <w:p>
            <w:r>
              <w:rPr>
                <w:b/>
              </w:rPr>
              <w:t>Condición solicitada a cambio</w:t>
            </w:r>
          </w:p>
        </w:tc>
        <w:tc>
          <w:tcPr>
            <w:tcW w:type="dxa" w:w="2484"/>
          </w:tcPr>
          <w:p>
            <w:r>
              <w:rPr>
                <w:b/>
              </w:rPr>
              <w:t>Límite</w:t>
            </w:r>
          </w:p>
        </w:tc>
      </w:tr>
      <w:tr>
        <w:tc>
          <w:tcPr>
            <w:tcW w:type="dxa" w:w="2484"/>
          </w:tcPr>
          <w:p>
            <w:r>
              <w:t>Descuento del 20 %</w:t>
            </w:r>
          </w:p>
        </w:tc>
        <w:tc>
          <w:tcPr>
            <w:tcW w:type="dxa" w:w="2484"/>
          </w:tcPr>
          <w:p>
            <w:r>
              <w:t>Ofrecer hasta 10 %; máximo 12 % excepcional.</w:t>
            </w:r>
          </w:p>
        </w:tc>
        <w:tc>
          <w:tcPr>
            <w:tcW w:type="dxa" w:w="2484"/>
          </w:tcPr>
          <w:p>
            <w:r>
              <w:t>Pago anticipado o contrato de soporte por 2 años.</w:t>
            </w:r>
          </w:p>
        </w:tc>
        <w:tc>
          <w:tcPr>
            <w:tcW w:type="dxa" w:w="2484"/>
          </w:tcPr>
          <w:p>
            <w:r>
              <w:t>No bajar de $70.400.000.</w:t>
            </w:r>
          </w:p>
        </w:tc>
      </w:tr>
      <w:tr>
        <w:tc>
          <w:tcPr>
            <w:tcW w:type="dxa" w:w="2484"/>
          </w:tcPr>
          <w:p>
            <w:r>
              <w:t>Pago a 90 días</w:t>
            </w:r>
          </w:p>
        </w:tc>
        <w:tc>
          <w:tcPr>
            <w:tcW w:type="dxa" w:w="2484"/>
          </w:tcPr>
          <w:p>
            <w:r>
              <w:t>Aceptar hasta 30 días o proponer pagos por hitos.</w:t>
            </w:r>
          </w:p>
        </w:tc>
        <w:tc>
          <w:tcPr>
            <w:tcW w:type="dxa" w:w="2484"/>
          </w:tcPr>
          <w:p>
            <w:r>
              <w:t>Orden de compra y garantía de pago aprobadas.</w:t>
            </w:r>
          </w:p>
        </w:tc>
        <w:tc>
          <w:tcPr>
            <w:tcW w:type="dxa" w:w="2484"/>
          </w:tcPr>
          <w:p>
            <w:r>
              <w:t>No financiar 90 días sin costo.</w:t>
            </w:r>
          </w:p>
        </w:tc>
      </w:tr>
      <w:tr>
        <w:tc>
          <w:tcPr>
            <w:tcW w:type="dxa" w:w="2484"/>
          </w:tcPr>
          <w:p>
            <w:r>
              <w:t>Código fuente</w:t>
            </w:r>
          </w:p>
        </w:tc>
        <w:tc>
          <w:tcPr>
            <w:tcW w:type="dxa" w:w="2484"/>
          </w:tcPr>
          <w:p>
            <w:r>
              <w:t>No incluirlo en la licencia estándar.</w:t>
            </w:r>
          </w:p>
        </w:tc>
        <w:tc>
          <w:tcPr>
            <w:tcW w:type="dxa" w:w="2484"/>
          </w:tcPr>
          <w:p>
            <w:r>
              <w:t>Cotizar por separado una cesión negociada o proponer escrow.</w:t>
            </w:r>
          </w:p>
        </w:tc>
        <w:tc>
          <w:tcPr>
            <w:tcW w:type="dxa" w:w="2484"/>
          </w:tcPr>
          <w:p>
            <w:r>
              <w:t>No entregar propiedad intelectual preexistente sin contrato y precio.</w:t>
            </w:r>
          </w:p>
        </w:tc>
      </w:tr>
      <w:tr>
        <w:tc>
          <w:tcPr>
            <w:tcW w:type="dxa" w:w="2484"/>
          </w:tcPr>
          <w:p>
            <w:r>
              <w:t>Capacitación adicional</w:t>
            </w:r>
          </w:p>
        </w:tc>
        <w:tc>
          <w:tcPr>
            <w:tcW w:type="dxa" w:w="2484"/>
          </w:tcPr>
          <w:p>
            <w:r>
              <w:t>Una sesión virtual adicional.</w:t>
            </w:r>
          </w:p>
        </w:tc>
        <w:tc>
          <w:tcPr>
            <w:tcW w:type="dxa" w:w="2484"/>
          </w:tcPr>
          <w:p>
            <w:r>
              <w:t>Firma dentro del periodo de validez de la oferta.</w:t>
            </w:r>
          </w:p>
        </w:tc>
        <w:tc>
          <w:tcPr>
            <w:tcW w:type="dxa" w:w="2484"/>
          </w:tcPr>
          <w:p>
            <w:r>
              <w:t>Sesiones extra se cotizan.</w:t>
            </w:r>
          </w:p>
        </w:tc>
      </w:tr>
    </w:tbl>
    <w:p/>
    <w:p>
      <w:pPr>
        <w:pStyle w:val="Heading2"/>
      </w:pPr>
      <w:r>
        <w:t>1.5. Documentos priorizados</w:t>
      </w:r>
    </w:p>
    <w:p>
      <w:pPr>
        <w:pStyle w:val="ListNumber"/>
      </w:pPr>
      <w:r>
        <w:t>Análisis de la contraparte y registro de decisores.</w:t>
      </w:r>
    </w:p>
    <w:p>
      <w:pPr>
        <w:pStyle w:val="ListNumber"/>
      </w:pPr>
      <w:r>
        <w:t>Propuesta comercial con precio por sede, descuento, impuestos y vigencia.</w:t>
      </w:r>
    </w:p>
    <w:p>
      <w:pPr>
        <w:pStyle w:val="ListNumber"/>
      </w:pPr>
      <w:r>
        <w:t>Contrato de licencia de uso del software.</w:t>
      </w:r>
    </w:p>
    <w:p>
      <w:pPr>
        <w:pStyle w:val="ListNumber"/>
      </w:pPr>
      <w:r>
        <w:t>Contrato o anexo de soporte y actualizaciones.</w:t>
      </w:r>
    </w:p>
    <w:p>
      <w:pPr>
        <w:pStyle w:val="ListNumber"/>
      </w:pPr>
      <w:r>
        <w:t>Plan de implementación, capacitación y cronograma.</w:t>
      </w:r>
    </w:p>
    <w:p>
      <w:pPr>
        <w:pStyle w:val="ListNumber"/>
      </w:pPr>
      <w:r>
        <w:t>Acta de entrega y criterios de aceptación.</w:t>
      </w:r>
    </w:p>
    <w:p>
      <w:pPr>
        <w:pStyle w:val="ListNumber"/>
      </w:pPr>
      <w:r>
        <w:t>Acuerdo de confidencialidad (NDA), si se comparte información sensible.</w:t>
      </w:r>
    </w:p>
    <w:p>
      <w:pPr>
        <w:pStyle w:val="ListNumber"/>
      </w:pPr>
      <w:r>
        <w:t>Cláusulas de protección de datos personales cuando el sistema trate datos personales.</w:t>
      </w:r>
    </w:p>
    <w:p>
      <w:pPr>
        <w:pStyle w:val="ListNumber"/>
      </w:pPr>
      <w:r>
        <w:t>Ficha técnica y de seguridad del producto.</w:t>
      </w:r>
    </w:p>
    <w:p>
      <w:pPr>
        <w:pStyle w:val="Heading2"/>
      </w:pPr>
      <w:r>
        <w:t>1.6. Respuesta a la solicitud del código fuente</w:t>
      </w:r>
    </w:p>
    <w:p>
      <w:r>
        <w:t>“La propuesta comercial contempla una licencia de uso del sistema, no la transferencia de su propiedad ni del código fuente. El código incluye componentes desarrollados por nuestra empresa y su entrega no está incluida en el precio de licencia. Podemos evaluar una alternativa de depósito del código con un tercero (escrow), bajo condiciones previamente acordadas, o presentar una cotización independiente para una cesión de derechos específica. En cualquier alternativa se identificarán los componentes preexistentes y los derechos que conservará cada parte.”</w:t>
      </w:r>
    </w:p>
    <w:p>
      <w:pPr>
        <w:pStyle w:val="Heading2"/>
      </w:pPr>
      <w:r>
        <w:t>1.7. Cláusula redactada: licencia y propiedad intelectual</w:t>
      </w:r>
    </w:p>
    <w:p>
      <w:r>
        <w:t>“El proveedor concede al cliente una licencia de uso no exclusiva, no transferible y limitada a las diez (10) sedes identificadas en la propuesta comercial, durante la vigencia pactada. La licencia no implica venta ni cesión de los derechos patrimoniales sobre el software, su código fuente, arquitectura, documentación o componentes preexistentes. El cliente no podrá copiar, modificar, sublicenciar, distribuir ni realizar ingeniería inversa, salvo autorización escrita o lo permitido por la ley. Cualquier cesión de derechos o entrega de código fuente requerirá acuerdo independiente que defina alcance, precio, garantías y derechos de cada parte.”</w:t>
      </w:r>
    </w:p>
    <w:p>
      <w:pPr>
        <w:pStyle w:val="Heading2"/>
      </w:pPr>
      <w:r>
        <w:t>1.8. Cierre del caso</w:t>
      </w:r>
    </w:p>
    <w:p>
      <w:r>
        <w:t>Se recomienda negociar el descuento a cambio de pago oportuno y volumen, mantener el código fuente fuera de la licencia estándar y dejar por escrito el alcance, soporte, aceptación y forma de pago.</w:t>
      </w:r>
    </w:p>
    <w:p>
      <w:pPr>
        <w:pStyle w:val="Heading1"/>
      </w:pPr>
      <w:r>
        <w:t>CASO 2. SUSCRIPCIÓN SaaS PARA UNA IPS PRIVADA</w:t>
      </w:r>
    </w:p>
    <w:p>
      <w:pPr>
        <w:pStyle w:val="Heading2"/>
      </w:pPr>
      <w:r>
        <w:t>2.1. Situación</w:t>
      </w:r>
    </w:p>
    <w:p>
      <w:r>
        <w:t>La IPS ficticia Salud Integral del Valle necesita una plataforma en la nube para administrar historias clínicas y citas. Solicita disponibilidad del 99,9 %, penalidades elevadas y que los servidores estén ubicados en Colombia. Como se tratarán datos sensibles de salud, la negociación debe priorizar seguridad, privacidad, continuidad y compromisos de servicio realistas.</w:t>
      </w:r>
    </w:p>
    <w:p>
      <w:pPr>
        <w:pStyle w:val="Heading2"/>
      </w:pPr>
      <w:r>
        <w:t>2.2. Responsable, encargado y datos sensibles</w:t>
      </w:r>
    </w:p>
    <w:p>
      <w:pPr>
        <w:pStyle w:val="ListBullet"/>
      </w:pPr>
      <w:r>
        <w:t>Responsable del tratamiento: la IPS, porque determina las finalidades y los usos de los datos de sus pacientes.</w:t>
      </w:r>
    </w:p>
    <w:p>
      <w:pPr>
        <w:pStyle w:val="ListBullet"/>
      </w:pPr>
      <w:r>
        <w:t>Encargado del tratamiento: Soluciones Digitales Andinas S.A.S., en la medida en que trate datos por cuenta e instrucciones de la IPS.</w:t>
      </w:r>
    </w:p>
    <w:p>
      <w:pPr>
        <w:pStyle w:val="ListBullet"/>
      </w:pPr>
      <w:r>
        <w:t>Datos tratados: identificación, contacto, citas, antecedentes, diagnósticos, tratamientos y otra información clínica necesaria.</w:t>
      </w:r>
    </w:p>
    <w:p>
      <w:pPr>
        <w:pStyle w:val="ListBullet"/>
      </w:pPr>
      <w:r>
        <w:t>Datos sensibles: información relacionada con la salud de los pacientes.</w:t>
      </w:r>
    </w:p>
    <w:p>
      <w:pPr>
        <w:pStyle w:val="ListBullet"/>
      </w:pPr>
      <w:r>
        <w:t>Obligaciones: limitar el uso a la finalidad acordada, aplicar controles de acceso, registrar eventos, proteger respaldos y reportar incidentes conforme al contrato y la normativa aplicable.</w:t>
      </w:r>
    </w:p>
    <w:p>
      <w:pPr>
        <w:pStyle w:val="Heading2"/>
      </w:pPr>
      <w:r>
        <w:t>2.3. Propuesta de precios y SLA</w:t>
      </w:r>
    </w:p>
    <w:tbl>
      <w:tblPr>
        <w:tblStyle w:val="TableGrid"/>
        <w:tblW w:type="auto" w:w="0"/>
        <w:tblLook w:firstColumn="1" w:firstRow="1" w:lastColumn="0" w:lastRow="0" w:noHBand="0" w:noVBand="1" w:val="04A0"/>
      </w:tblPr>
      <w:tblGrid>
        <w:gridCol w:w="4968"/>
        <w:gridCol w:w="4968"/>
      </w:tblGrid>
      <w:tr>
        <w:tc>
          <w:tcPr>
            <w:tcW w:type="dxa" w:w="4968"/>
          </w:tcPr>
          <w:p>
            <w:r>
              <w:rPr>
                <w:b/>
              </w:rPr>
              <w:t>Elemento</w:t>
            </w:r>
          </w:p>
        </w:tc>
        <w:tc>
          <w:tcPr>
            <w:tcW w:type="dxa" w:w="4968"/>
          </w:tcPr>
          <w:p>
            <w:r>
              <w:rPr>
                <w:b/>
              </w:rPr>
              <w:t>Propuesta inicial</w:t>
            </w:r>
          </w:p>
        </w:tc>
      </w:tr>
      <w:tr>
        <w:tc>
          <w:tcPr>
            <w:tcW w:type="dxa" w:w="4968"/>
          </w:tcPr>
          <w:p>
            <w:r>
              <w:t>Implementación y configuración</w:t>
            </w:r>
          </w:p>
        </w:tc>
        <w:tc>
          <w:tcPr>
            <w:tcW w:type="dxa" w:w="4968"/>
          </w:tcPr>
          <w:p>
            <w:r>
              <w:t>COP $12.000.000, pago único.</w:t>
            </w:r>
          </w:p>
        </w:tc>
      </w:tr>
      <w:tr>
        <w:tc>
          <w:tcPr>
            <w:tcW w:type="dxa" w:w="4968"/>
          </w:tcPr>
          <w:p>
            <w:r>
              <w:t>Suscripción mensual</w:t>
            </w:r>
          </w:p>
        </w:tc>
        <w:tc>
          <w:tcPr>
            <w:tcW w:type="dxa" w:w="4968"/>
          </w:tcPr>
          <w:p>
            <w:r>
              <w:t>COP $3.000.000 por mes, hasta el volumen de usuarios acordado.</w:t>
            </w:r>
          </w:p>
        </w:tc>
      </w:tr>
      <w:tr>
        <w:tc>
          <w:tcPr>
            <w:tcW w:type="dxa" w:w="4968"/>
          </w:tcPr>
          <w:p>
            <w:r>
              <w:t>Disponibilidad objetivo</w:t>
            </w:r>
          </w:p>
        </w:tc>
        <w:tc>
          <w:tcPr>
            <w:tcW w:type="dxa" w:w="4968"/>
          </w:tcPr>
          <w:p>
            <w:r>
              <w:t>99,5 % mensual, sujeto a medición y exclusiones contractuales; 99,9 % se evaluaría tras validación técnica y de infraestructura.</w:t>
            </w:r>
          </w:p>
        </w:tc>
      </w:tr>
      <w:tr>
        <w:tc>
          <w:tcPr>
            <w:tcW w:type="dxa" w:w="4968"/>
          </w:tcPr>
          <w:p>
            <w:r>
              <w:t>Soporte crítico</w:t>
            </w:r>
          </w:p>
        </w:tc>
        <w:tc>
          <w:tcPr>
            <w:tcW w:type="dxa" w:w="4968"/>
          </w:tcPr>
          <w:p>
            <w:r>
              <w:t>Atención inicial en 1 hora, 24/7 para incidentes críticos.</w:t>
            </w:r>
          </w:p>
        </w:tc>
      </w:tr>
      <w:tr>
        <w:tc>
          <w:tcPr>
            <w:tcW w:type="dxa" w:w="4968"/>
          </w:tcPr>
          <w:p>
            <w:r>
              <w:t>Crédito de servicio</w:t>
            </w:r>
          </w:p>
        </w:tc>
        <w:tc>
          <w:tcPr>
            <w:tcW w:type="dxa" w:w="4968"/>
          </w:tcPr>
          <w:p>
            <w:r>
              <w:t>Crédito máximo del 10 % de la tarifa mensual afectada; remedio contractual sujeto a condiciones del SLA.</w:t>
            </w:r>
          </w:p>
        </w:tc>
      </w:tr>
      <w:tr>
        <w:tc>
          <w:tcPr>
            <w:tcW w:type="dxa" w:w="4968"/>
          </w:tcPr>
          <w:p>
            <w:r>
              <w:t>Ubicación de datos</w:t>
            </w:r>
          </w:p>
        </w:tc>
        <w:tc>
          <w:tcPr>
            <w:tcW w:type="dxa" w:w="4968"/>
          </w:tcPr>
          <w:p>
            <w:r>
              <w:t>Confirmar por escrito región de alojamiento, copias de respaldo y subencargados antes de contratar.</w:t>
            </w:r>
          </w:p>
        </w:tc>
      </w:tr>
    </w:tbl>
    <w:p/>
    <w:p>
      <w:r>
        <w:t>La disponibilidad del 99,9 % equivale a un margen de indisponibilidad mensual reducido. No debe aceptarse sin validar la arquitectura, la redundancia, el monitoreo, los respaldos y los costos. La ubicación en Colombia debe confirmarse con el proveedor de infraestructura; no se prometerá sin evidencia contractual.</w:t>
      </w:r>
    </w:p>
    <w:p>
      <w:pPr>
        <w:pStyle w:val="Heading2"/>
      </w:pPr>
      <w:r>
        <w:t>2.4. Plan de concesiones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Petición</w:t>
            </w:r>
          </w:p>
        </w:tc>
        <w:tc>
          <w:tcPr>
            <w:tcW w:type="dxa" w:w="2484"/>
          </w:tcPr>
          <w:p>
            <w:r>
              <w:rPr>
                <w:b/>
              </w:rPr>
              <w:t>Concesión posible</w:t>
            </w:r>
          </w:p>
        </w:tc>
        <w:tc>
          <w:tcPr>
            <w:tcW w:type="dxa" w:w="2484"/>
          </w:tcPr>
          <w:p>
            <w:r>
              <w:rPr>
                <w:b/>
              </w:rPr>
              <w:t>A cambio de</w:t>
            </w:r>
          </w:p>
        </w:tc>
        <w:tc>
          <w:tcPr>
            <w:tcW w:type="dxa" w:w="2484"/>
          </w:tcPr>
          <w:p>
            <w:r>
              <w:rPr>
                <w:b/>
              </w:rPr>
              <w:t>Límite</w:t>
            </w:r>
          </w:p>
        </w:tc>
      </w:tr>
      <w:tr>
        <w:tc>
          <w:tcPr>
            <w:tcW w:type="dxa" w:w="2484"/>
          </w:tcPr>
          <w:p>
            <w:r>
              <w:t>Disponibilidad 99,9 %</w:t>
            </w:r>
          </w:p>
        </w:tc>
        <w:tc>
          <w:tcPr>
            <w:tcW w:type="dxa" w:w="2484"/>
          </w:tcPr>
          <w:p>
            <w:r>
              <w:t>Plan de mejora técnica y revisión después de un periodo de medición.</w:t>
            </w:r>
          </w:p>
        </w:tc>
        <w:tc>
          <w:tcPr>
            <w:tcW w:type="dxa" w:w="2484"/>
          </w:tcPr>
          <w:p>
            <w:r>
              <w:t>Contrato de 24 meses y aprobación de costos de infraestructura.</w:t>
            </w:r>
          </w:p>
        </w:tc>
        <w:tc>
          <w:tcPr>
            <w:tcW w:type="dxa" w:w="2484"/>
          </w:tcPr>
          <w:p>
            <w:r>
              <w:t>No garantizar un nivel no validado.</w:t>
            </w:r>
          </w:p>
        </w:tc>
      </w:tr>
      <w:tr>
        <w:tc>
          <w:tcPr>
            <w:tcW w:type="dxa" w:w="2484"/>
          </w:tcPr>
          <w:p>
            <w:r>
              <w:t>Penalidades altas</w:t>
            </w:r>
          </w:p>
        </w:tc>
        <w:tc>
          <w:tcPr>
            <w:tcW w:type="dxa" w:w="2484"/>
          </w:tcPr>
          <w:p>
            <w:r>
              <w:t>Créditos de servicio proporcionales, con tope mensual.</w:t>
            </w:r>
          </w:p>
        </w:tc>
        <w:tc>
          <w:tcPr>
            <w:tcW w:type="dxa" w:w="2484"/>
          </w:tcPr>
          <w:p>
            <w:r>
              <w:t>Exclusiones claras y medición objetiva.</w:t>
            </w:r>
          </w:p>
        </w:tc>
        <w:tc>
          <w:tcPr>
            <w:tcW w:type="dxa" w:w="2484"/>
          </w:tcPr>
          <w:p>
            <w:r>
              <w:t>No aceptar responsabilidad ilimitada ni doble compensación.</w:t>
            </w:r>
          </w:p>
        </w:tc>
      </w:tr>
      <w:tr>
        <w:tc>
          <w:tcPr>
            <w:tcW w:type="dxa" w:w="2484"/>
          </w:tcPr>
          <w:p>
            <w:r>
              <w:t>Servidores en Colombia</w:t>
            </w:r>
          </w:p>
        </w:tc>
        <w:tc>
          <w:tcPr>
            <w:tcW w:type="dxa" w:w="2484"/>
          </w:tcPr>
          <w:p>
            <w:r>
              <w:t>Seleccionar proveedor y región que lo acrediten, si es viable.</w:t>
            </w:r>
          </w:p>
        </w:tc>
        <w:tc>
          <w:tcPr>
            <w:tcW w:type="dxa" w:w="2484"/>
          </w:tcPr>
          <w:p>
            <w:r>
              <w:t>Ajuste de precio si genera costos adicionales.</w:t>
            </w:r>
          </w:p>
        </w:tc>
        <w:tc>
          <w:tcPr>
            <w:tcW w:type="dxa" w:w="2484"/>
          </w:tcPr>
          <w:p>
            <w:r>
              <w:t>No afirmar ubicación sin confirmación documental.</w:t>
            </w:r>
          </w:p>
        </w:tc>
      </w:tr>
      <w:tr>
        <w:tc>
          <w:tcPr>
            <w:tcW w:type="dxa" w:w="2484"/>
          </w:tcPr>
          <w:p>
            <w:r>
              <w:t>Capacitación</w:t>
            </w:r>
          </w:p>
        </w:tc>
        <w:tc>
          <w:tcPr>
            <w:tcW w:type="dxa" w:w="2484"/>
          </w:tcPr>
          <w:p>
            <w:r>
              <w:t>Sesión inicial y material de apoyo.</w:t>
            </w:r>
          </w:p>
        </w:tc>
        <w:tc>
          <w:tcPr>
            <w:tcW w:type="dxa" w:w="2484"/>
          </w:tcPr>
          <w:p>
            <w:r>
              <w:t>Calendario de implementación acordado.</w:t>
            </w:r>
          </w:p>
        </w:tc>
        <w:tc>
          <w:tcPr>
            <w:tcW w:type="dxa" w:w="2484"/>
          </w:tcPr>
          <w:p>
            <w:r>
              <w:t>Capacitación adicional cotizada.</w:t>
            </w:r>
          </w:p>
        </w:tc>
      </w:tr>
    </w:tbl>
    <w:p/>
    <w:p>
      <w:pPr>
        <w:pStyle w:val="Heading2"/>
      </w:pPr>
      <w:r>
        <w:t>2.5. Documentos priorizados</w:t>
      </w:r>
    </w:p>
    <w:p>
      <w:pPr>
        <w:pStyle w:val="ListNumber"/>
      </w:pPr>
      <w:r>
        <w:t>Propuesta comercial con tarifas de implementación y suscripción.</w:t>
      </w:r>
    </w:p>
    <w:p>
      <w:pPr>
        <w:pStyle w:val="ListNumber"/>
      </w:pPr>
      <w:r>
        <w:t>Términos de servicio SaaS y contrato principal.</w:t>
      </w:r>
    </w:p>
    <w:p>
      <w:pPr>
        <w:pStyle w:val="ListNumber"/>
      </w:pPr>
      <w:r>
        <w:t>SLA con disponibilidad, medición, severidades, mantenimiento, exclusiones y créditos topados.</w:t>
      </w:r>
    </w:p>
    <w:p>
      <w:pPr>
        <w:pStyle w:val="ListNumber"/>
      </w:pPr>
      <w:r>
        <w:t>Anexo de tratamiento de datos personales (DPA).</w:t>
      </w:r>
    </w:p>
    <w:p>
      <w:pPr>
        <w:pStyle w:val="ListNumber"/>
      </w:pPr>
      <w:r>
        <w:t>Ficha de seguridad: cifrado, accesos, registros, copias de respaldo y gestión de incidentes.</w:t>
      </w:r>
    </w:p>
    <w:p>
      <w:pPr>
        <w:pStyle w:val="ListNumber"/>
      </w:pPr>
      <w:r>
        <w:t>Plan de continuidad y recuperación, con objetivos RTO/RPO acordados.</w:t>
      </w:r>
    </w:p>
    <w:p>
      <w:pPr>
        <w:pStyle w:val="ListNumber"/>
      </w:pPr>
      <w:r>
        <w:t>Listado de subencargados y ubicación de los datos y respaldos.</w:t>
      </w:r>
    </w:p>
    <w:p>
      <w:pPr>
        <w:pStyle w:val="ListNumber"/>
      </w:pPr>
      <w:r>
        <w:t>Plan de onboarding, migración y capacitación.</w:t>
      </w:r>
    </w:p>
    <w:p>
      <w:pPr>
        <w:pStyle w:val="ListNumber"/>
      </w:pPr>
      <w:r>
        <w:t>Política de salida, exportación, devolución y eliminación de datos.</w:t>
      </w:r>
    </w:p>
    <w:p>
      <w:pPr>
        <w:pStyle w:val="ListNumber"/>
      </w:pPr>
      <w:r>
        <w:t>NDA, si se intercambia información confidencial antes de la firma.</w:t>
      </w:r>
    </w:p>
    <w:p>
      <w:pPr>
        <w:pStyle w:val="Heading2"/>
      </w:pPr>
      <w:r>
        <w:t>2.6. SLA propuesto</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Severidad</w:t>
            </w:r>
          </w:p>
        </w:tc>
        <w:tc>
          <w:tcPr>
            <w:tcW w:type="dxa" w:w="2484"/>
          </w:tcPr>
          <w:p>
            <w:r>
              <w:rPr>
                <w:b/>
              </w:rPr>
              <w:t>Ejemplo</w:t>
            </w:r>
          </w:p>
        </w:tc>
        <w:tc>
          <w:tcPr>
            <w:tcW w:type="dxa" w:w="2484"/>
          </w:tcPr>
          <w:p>
            <w:r>
              <w:rPr>
                <w:b/>
              </w:rPr>
              <w:t>Tiempo de respuesta</w:t>
            </w:r>
          </w:p>
        </w:tc>
        <w:tc>
          <w:tcPr>
            <w:tcW w:type="dxa" w:w="2484"/>
          </w:tcPr>
          <w:p>
            <w:r>
              <w:rPr>
                <w:b/>
              </w:rPr>
              <w:t>Objetivo de solución</w:t>
            </w:r>
          </w:p>
        </w:tc>
      </w:tr>
      <w:tr>
        <w:tc>
          <w:tcPr>
            <w:tcW w:type="dxa" w:w="2484"/>
          </w:tcPr>
          <w:p>
            <w:r>
              <w:t>Crítica</w:t>
            </w:r>
          </w:p>
        </w:tc>
        <w:tc>
          <w:tcPr>
            <w:tcW w:type="dxa" w:w="2484"/>
          </w:tcPr>
          <w:p>
            <w:r>
              <w:t>Plataforma caída o posible pérdida de datos.</w:t>
            </w:r>
          </w:p>
        </w:tc>
        <w:tc>
          <w:tcPr>
            <w:tcW w:type="dxa" w:w="2484"/>
          </w:tcPr>
          <w:p>
            <w:r>
              <w:t>1 hora, 24/7.</w:t>
            </w:r>
          </w:p>
        </w:tc>
        <w:tc>
          <w:tcPr>
            <w:tcW w:type="dxa" w:w="2484"/>
          </w:tcPr>
          <w:p>
            <w:r>
              <w:t>Mitigación prioritaria; objetivo inicial de 4 horas, sujeto a diagnóstico.</w:t>
            </w:r>
          </w:p>
        </w:tc>
      </w:tr>
      <w:tr>
        <w:tc>
          <w:tcPr>
            <w:tcW w:type="dxa" w:w="2484"/>
          </w:tcPr>
          <w:p>
            <w:r>
              <w:t>Alta</w:t>
            </w:r>
          </w:p>
        </w:tc>
        <w:tc>
          <w:tcPr>
            <w:tcW w:type="dxa" w:w="2484"/>
          </w:tcPr>
          <w:p>
            <w:r>
              <w:t>Función principal afectada sin alternativa.</w:t>
            </w:r>
          </w:p>
        </w:tc>
        <w:tc>
          <w:tcPr>
            <w:tcW w:type="dxa" w:w="2484"/>
          </w:tcPr>
          <w:p>
            <w:r>
              <w:t>4 horas hábiles.</w:t>
            </w:r>
          </w:p>
        </w:tc>
        <w:tc>
          <w:tcPr>
            <w:tcW w:type="dxa" w:w="2484"/>
          </w:tcPr>
          <w:p>
            <w:r>
              <w:t>1 día hábil como objetivo.</w:t>
            </w:r>
          </w:p>
        </w:tc>
      </w:tr>
      <w:tr>
        <w:tc>
          <w:tcPr>
            <w:tcW w:type="dxa" w:w="2484"/>
          </w:tcPr>
          <w:p>
            <w:r>
              <w:t>Media</w:t>
            </w:r>
          </w:p>
        </w:tc>
        <w:tc>
          <w:tcPr>
            <w:tcW w:type="dxa" w:w="2484"/>
          </w:tcPr>
          <w:p>
            <w:r>
              <w:t>Falla parcial con alternativa temporal.</w:t>
            </w:r>
          </w:p>
        </w:tc>
        <w:tc>
          <w:tcPr>
            <w:tcW w:type="dxa" w:w="2484"/>
          </w:tcPr>
          <w:p>
            <w:r>
              <w:t>1 día hábil.</w:t>
            </w:r>
          </w:p>
        </w:tc>
        <w:tc>
          <w:tcPr>
            <w:tcW w:type="dxa" w:w="2484"/>
          </w:tcPr>
          <w:p>
            <w:r>
              <w:t>5 días hábiles como objetivo.</w:t>
            </w:r>
          </w:p>
        </w:tc>
      </w:tr>
      <w:tr>
        <w:tc>
          <w:tcPr>
            <w:tcW w:type="dxa" w:w="2484"/>
          </w:tcPr>
          <w:p>
            <w:r>
              <w:t>Baja</w:t>
            </w:r>
          </w:p>
        </w:tc>
        <w:tc>
          <w:tcPr>
            <w:tcW w:type="dxa" w:w="2484"/>
          </w:tcPr>
          <w:p>
            <w:r>
              <w:t>Consulta o solicitud de mejora.</w:t>
            </w:r>
          </w:p>
        </w:tc>
        <w:tc>
          <w:tcPr>
            <w:tcW w:type="dxa" w:w="2484"/>
          </w:tcPr>
          <w:p>
            <w:r>
              <w:t>2 días hábiles.</w:t>
            </w:r>
          </w:p>
        </w:tc>
        <w:tc>
          <w:tcPr>
            <w:tcW w:type="dxa" w:w="2484"/>
          </w:tcPr>
          <w:p>
            <w:r>
              <w:t>Se programa según prioridad.</w:t>
            </w:r>
          </w:p>
        </w:tc>
      </w:tr>
    </w:tbl>
    <w:p/>
    <w:p>
      <w:pPr>
        <w:pStyle w:val="Heading2"/>
      </w:pPr>
      <w:r>
        <w:t>2.7. Cláusula redactada: disponibilidad y créditos</w:t>
      </w:r>
    </w:p>
    <w:p>
      <w:r>
        <w:t>“El proveedor realizará esfuerzos comercialmente razonables para mantener una disponibilidad mensual del servicio del 99,5 %, calculada conforme al método de medición descrito en el SLA. Se excluirán las ventanas de mantenimiento notificadas, eventos de fuerza mayor, fallas atribuibles a sistemas del cliente y fallas de terceros fuera del control razonable del proveedor, siempre que se documenten. Si la disponibilidad mensual queda por debajo del objetivo por causas imputables al proveedor, el cliente podrá solicitar créditos de servicio conforme a la tabla del SLA, hasta un máximo del diez por ciento (10 %) de la tarifa mensual del servicio afectado. Los créditos constituyen el remedio económico previsto por incumplimientos de disponibilidad, sin limitar las obligaciones que legalmente no puedan excluirse.”</w:t>
      </w:r>
    </w:p>
    <w:p>
      <w:pPr>
        <w:pStyle w:val="Heading2"/>
      </w:pPr>
      <w:r>
        <w:t>2.8. Cierre del caso</w:t>
      </w:r>
    </w:p>
    <w:p>
      <w:r>
        <w:t>La prioridad es proteger los datos de salud, establecer responsabilidades claras y ofrecer un SLA medible y cumplible. Antes de firmar, deben validarse alojamiento, seguridad, respaldos y obligaciones de cada parte.</w:t>
      </w:r>
    </w:p>
    <w:p>
      <w:pPr>
        <w:pStyle w:val="Heading1"/>
      </w:pPr>
      <w:r>
        <w:t>CASO 3. DESARROLLO A MEDIDA PARA EMPRESA PRIVADA</w:t>
      </w:r>
    </w:p>
    <w:p>
      <w:pPr>
        <w:pStyle w:val="Heading2"/>
      </w:pPr>
      <w:r>
        <w:t>3.1. Situación</w:t>
      </w:r>
    </w:p>
    <w:p>
      <w:r>
        <w:t>La empresa ficticia Logística Ruta Segura S.A.S. solicita una aplicación de seguimiento de flotas que “haga de todo”. Solo entrega una presentación de una página y exige un precio cerrado en dos días. El proveedor no debe comprometer precio y plazo definitivos sin levantar requisitos y acordar prioridades.</w:t>
      </w:r>
    </w:p>
    <w:p>
      <w:pPr>
        <w:pStyle w:val="Heading2"/>
      </w:pPr>
      <w:r>
        <w:t>3.2. Fase de descubrimiento</w:t>
      </w:r>
    </w:p>
    <w:p>
      <w:r>
        <w:t>Se propone una fase inicial de descubrimiento de dos semanas, por COP $6.000.000. El resultado será un documento de requisitos priorizados, mapa de procesos, prototipo inicial, arquitectura preliminar, riesgos, estimación por fases y criterios de aceptación. Si el cliente aprueba la fase, el valor podrá reconocerse parcialmente como crédito para el desarrollo, según acuerdo escrito.</w:t>
      </w:r>
    </w:p>
    <w:p>
      <w:pPr>
        <w:pStyle w:val="ListBullet"/>
      </w:pPr>
      <w:r>
        <w:t>Entrevistar a operaciones, conductores, supervisores y personal administrativo.</w:t>
      </w:r>
    </w:p>
    <w:p>
      <w:pPr>
        <w:pStyle w:val="ListBullet"/>
      </w:pPr>
      <w:r>
        <w:t>Identificar tipos de vehículos, cantidad de usuarios y frecuencia de actualización de ubicación.</w:t>
      </w:r>
    </w:p>
    <w:p>
      <w:pPr>
        <w:pStyle w:val="ListBullet"/>
      </w:pPr>
      <w:r>
        <w:t>Definir si se requiere GPS propio, integración con proveedores o captura manual.</w:t>
      </w:r>
    </w:p>
    <w:p>
      <w:pPr>
        <w:pStyle w:val="ListBullet"/>
      </w:pPr>
      <w:r>
        <w:t>Priorizar funciones indispensables para una primera versión.</w:t>
      </w:r>
    </w:p>
    <w:p>
      <w:pPr>
        <w:pStyle w:val="ListBullet"/>
      </w:pPr>
      <w:r>
        <w:t>Identificar requisitos de seguridad, conectividad, reportes y conservación de datos.</w:t>
      </w:r>
    </w:p>
    <w:p>
      <w:pPr>
        <w:pStyle w:val="ListBullet"/>
      </w:pPr>
      <w:r>
        <w:t>Validar presupuesto, fechas, responsables y dependencias externas.</w:t>
      </w:r>
    </w:p>
    <w:p>
      <w:pPr>
        <w:pStyle w:val="Heading2"/>
      </w:pPr>
      <w:r>
        <w:t>3.3. Alcance incluido y excluido (SOW)</w:t>
      </w:r>
    </w:p>
    <w:tbl>
      <w:tblPr>
        <w:tblStyle w:val="TableGrid"/>
        <w:tblW w:type="auto" w:w="0"/>
        <w:tblLook w:firstColumn="1" w:firstRow="1" w:lastColumn="0" w:lastRow="0" w:noHBand="0" w:noVBand="1" w:val="04A0"/>
      </w:tblPr>
      <w:tblGrid>
        <w:gridCol w:w="4968"/>
        <w:gridCol w:w="4968"/>
      </w:tblGrid>
      <w:tr>
        <w:tc>
          <w:tcPr>
            <w:tcW w:type="dxa" w:w="4968"/>
          </w:tcPr>
          <w:p>
            <w:r>
              <w:rPr>
                <w:b/>
              </w:rPr>
              <w:t>Incluido en la primera versión</w:t>
            </w:r>
          </w:p>
        </w:tc>
        <w:tc>
          <w:tcPr>
            <w:tcW w:type="dxa" w:w="4968"/>
          </w:tcPr>
          <w:p>
            <w:r>
              <w:rPr>
                <w:b/>
              </w:rPr>
              <w:t>Excluido salvo cotización y aprobación</w:t>
            </w:r>
          </w:p>
        </w:tc>
      </w:tr>
      <w:tr>
        <w:tc>
          <w:tcPr>
            <w:tcW w:type="dxa" w:w="4968"/>
          </w:tcPr>
          <w:p>
            <w:r>
              <w:t>Inicio de sesión y roles básicos.</w:t>
            </w:r>
          </w:p>
        </w:tc>
        <w:tc>
          <w:tcPr>
            <w:tcW w:type="dxa" w:w="4968"/>
          </w:tcPr>
          <w:p>
            <w:r>
              <w:t>Compra o instalación de dispositivos GPS.</w:t>
            </w:r>
          </w:p>
        </w:tc>
      </w:tr>
      <w:tr>
        <w:tc>
          <w:tcPr>
            <w:tcW w:type="dxa" w:w="4968"/>
          </w:tcPr>
          <w:p>
            <w:r>
              <w:t>Registro de vehículos y conductores.</w:t>
            </w:r>
          </w:p>
        </w:tc>
        <w:tc>
          <w:tcPr>
            <w:tcW w:type="dxa" w:w="4968"/>
          </w:tcPr>
          <w:p>
            <w:r>
              <w:t>Integraciones con sistemas de terceros no identificadas.</w:t>
            </w:r>
          </w:p>
        </w:tc>
      </w:tr>
      <w:tr>
        <w:tc>
          <w:tcPr>
            <w:tcW w:type="dxa" w:w="4968"/>
          </w:tcPr>
          <w:p>
            <w:r>
              <w:t>Visualización de ubicación si existe API compatible y acceso autorizado.</w:t>
            </w:r>
          </w:p>
        </w:tc>
        <w:tc>
          <w:tcPr>
            <w:tcW w:type="dxa" w:w="4968"/>
          </w:tcPr>
          <w:p>
            <w:r>
              <w:t>Cobertura garantizada en zonas sin conectividad.</w:t>
            </w:r>
          </w:p>
        </w:tc>
      </w:tr>
      <w:tr>
        <w:tc>
          <w:tcPr>
            <w:tcW w:type="dxa" w:w="4968"/>
          </w:tcPr>
          <w:p>
            <w:r>
              <w:t>Registro de recorridos y estado del vehículo.</w:t>
            </w:r>
          </w:p>
        </w:tc>
        <w:tc>
          <w:tcPr>
            <w:tcW w:type="dxa" w:w="4968"/>
          </w:tcPr>
          <w:p>
            <w:r>
              <w:t>Predicción avanzada con inteligencia artificial.</w:t>
            </w:r>
          </w:p>
        </w:tc>
      </w:tr>
      <w:tr>
        <w:tc>
          <w:tcPr>
            <w:tcW w:type="dxa" w:w="4968"/>
          </w:tcPr>
          <w:p>
            <w:r>
              <w:t>Panel básico y reportes acordados.</w:t>
            </w:r>
          </w:p>
        </w:tc>
        <w:tc>
          <w:tcPr>
            <w:tcW w:type="dxa" w:w="4968"/>
          </w:tcPr>
          <w:p>
            <w:r>
              <w:t>Aplicación adicional para terceros o nuevos módulos no definidos.</w:t>
            </w:r>
          </w:p>
        </w:tc>
      </w:tr>
      <w:tr>
        <w:tc>
          <w:tcPr>
            <w:tcW w:type="dxa" w:w="4968"/>
          </w:tcPr>
          <w:p>
            <w:r>
              <w:t>Pruebas funcionales, capacitación básica y despliegue acordado.</w:t>
            </w:r>
          </w:p>
        </w:tc>
        <w:tc>
          <w:tcPr>
            <w:tcW w:type="dxa" w:w="4968"/>
          </w:tcPr>
          <w:p>
            <w:r>
              <w:t>Migración masiva de datos no evaluada, licencias de terceros y soporte 24/7.</w:t>
            </w:r>
          </w:p>
        </w:tc>
      </w:tr>
    </w:tbl>
    <w:p/>
    <w:p>
      <w:pPr>
        <w:pStyle w:val="Heading2"/>
      </w:pPr>
      <w:r>
        <w:t>3.4. Plan de concesiones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Petición</w:t>
            </w:r>
          </w:p>
        </w:tc>
        <w:tc>
          <w:tcPr>
            <w:tcW w:type="dxa" w:w="2484"/>
          </w:tcPr>
          <w:p>
            <w:r>
              <w:rPr>
                <w:b/>
              </w:rPr>
              <w:t>Concesión posible</w:t>
            </w:r>
          </w:p>
        </w:tc>
        <w:tc>
          <w:tcPr>
            <w:tcW w:type="dxa" w:w="2484"/>
          </w:tcPr>
          <w:p>
            <w:r>
              <w:rPr>
                <w:b/>
              </w:rPr>
              <w:t>A cambio de</w:t>
            </w:r>
          </w:p>
        </w:tc>
        <w:tc>
          <w:tcPr>
            <w:tcW w:type="dxa" w:w="2484"/>
          </w:tcPr>
          <w:p>
            <w:r>
              <w:rPr>
                <w:b/>
              </w:rPr>
              <w:t>Límite</w:t>
            </w:r>
          </w:p>
        </w:tc>
      </w:tr>
      <w:tr>
        <w:tc>
          <w:tcPr>
            <w:tcW w:type="dxa" w:w="2484"/>
          </w:tcPr>
          <w:p>
            <w:r>
              <w:t>Precio cerrado en dos días</w:t>
            </w:r>
          </w:p>
        </w:tc>
        <w:tc>
          <w:tcPr>
            <w:tcW w:type="dxa" w:w="2484"/>
          </w:tcPr>
          <w:p>
            <w:r>
              <w:t>Entregar estimación preliminar y precio definitivo después del descubrimiento.</w:t>
            </w:r>
          </w:p>
        </w:tc>
        <w:tc>
          <w:tcPr>
            <w:tcW w:type="dxa" w:w="2484"/>
          </w:tcPr>
          <w:p>
            <w:r>
              <w:t>Aprobación y pago de la fase inicial.</w:t>
            </w:r>
          </w:p>
        </w:tc>
        <w:tc>
          <w:tcPr>
            <w:tcW w:type="dxa" w:w="2484"/>
          </w:tcPr>
          <w:p>
            <w:r>
              <w:t>No cerrar precio sobre requisitos ambiguos.</w:t>
            </w:r>
          </w:p>
        </w:tc>
      </w:tr>
      <w:tr>
        <w:tc>
          <w:tcPr>
            <w:tcW w:type="dxa" w:w="2484"/>
          </w:tcPr>
          <w:p>
            <w:r>
              <w:t>Más funciones sin costo</w:t>
            </w:r>
          </w:p>
        </w:tc>
        <w:tc>
          <w:tcPr>
            <w:tcW w:type="dxa" w:w="2484"/>
          </w:tcPr>
          <w:p>
            <w:r>
              <w:t>Priorizar funciones esenciales para la primera versión.</w:t>
            </w:r>
          </w:p>
        </w:tc>
        <w:tc>
          <w:tcPr>
            <w:tcW w:type="dxa" w:w="2484"/>
          </w:tcPr>
          <w:p>
            <w:r>
              <w:t>Mover otras funciones a una segunda fase.</w:t>
            </w:r>
          </w:p>
        </w:tc>
        <w:tc>
          <w:tcPr>
            <w:tcW w:type="dxa" w:w="2484"/>
          </w:tcPr>
          <w:p>
            <w:r>
              <w:t>No ampliar alcance sin ajuste.</w:t>
            </w:r>
          </w:p>
        </w:tc>
      </w:tr>
      <w:tr>
        <w:tc>
          <w:tcPr>
            <w:tcW w:type="dxa" w:w="2484"/>
          </w:tcPr>
          <w:p>
            <w:r>
              <w:t>Entrega rápida</w:t>
            </w:r>
          </w:p>
        </w:tc>
        <w:tc>
          <w:tcPr>
            <w:tcW w:type="dxa" w:w="2484"/>
          </w:tcPr>
          <w:p>
            <w:r>
              <w:t>Desarrollo por versiones y entregas parciales.</w:t>
            </w:r>
          </w:p>
        </w:tc>
        <w:tc>
          <w:tcPr>
            <w:tcW w:type="dxa" w:w="2484"/>
          </w:tcPr>
          <w:p>
            <w:r>
              <w:t>Cliente entrega datos, accesos y respuestas a tiempo.</w:t>
            </w:r>
          </w:p>
        </w:tc>
        <w:tc>
          <w:tcPr>
            <w:tcW w:type="dxa" w:w="2484"/>
          </w:tcPr>
          <w:p>
            <w:r>
              <w:t>Los retrasos del cliente ajustan cronograma.</w:t>
            </w:r>
          </w:p>
        </w:tc>
      </w:tr>
      <w:tr>
        <w:tc>
          <w:tcPr>
            <w:tcW w:type="dxa" w:w="2484"/>
          </w:tcPr>
          <w:p>
            <w:r>
              <w:t>Capacitación adicional</w:t>
            </w:r>
          </w:p>
        </w:tc>
        <w:tc>
          <w:tcPr>
            <w:tcW w:type="dxa" w:w="2484"/>
          </w:tcPr>
          <w:p>
            <w:r>
              <w:t>Una sesión extra remota.</w:t>
            </w:r>
          </w:p>
        </w:tc>
        <w:tc>
          <w:tcPr>
            <w:tcW w:type="dxa" w:w="2484"/>
          </w:tcPr>
          <w:p>
            <w:r>
              <w:t>Aprobación de entregables en los plazos pactados.</w:t>
            </w:r>
          </w:p>
        </w:tc>
        <w:tc>
          <w:tcPr>
            <w:tcW w:type="dxa" w:w="2484"/>
          </w:tcPr>
          <w:p>
            <w:r>
              <w:t>Sesiones adicionales cotizadas.</w:t>
            </w:r>
          </w:p>
        </w:tc>
      </w:tr>
    </w:tbl>
    <w:p/>
    <w:p>
      <w:pPr>
        <w:pStyle w:val="Heading2"/>
      </w:pPr>
      <w:r>
        <w:t>3.5. Cronograma de pagos propuesto</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Hito</w:t>
            </w:r>
          </w:p>
        </w:tc>
        <w:tc>
          <w:tcPr>
            <w:tcW w:type="dxa" w:w="2484"/>
          </w:tcPr>
          <w:p>
            <w:r>
              <w:rPr>
                <w:b/>
              </w:rPr>
              <w:t>Entregable</w:t>
            </w:r>
          </w:p>
        </w:tc>
        <w:tc>
          <w:tcPr>
            <w:tcW w:type="dxa" w:w="2484"/>
          </w:tcPr>
          <w:p>
            <w:r>
              <w:rPr>
                <w:b/>
              </w:rPr>
              <w:t>Porcentaje</w:t>
            </w:r>
          </w:p>
        </w:tc>
        <w:tc>
          <w:tcPr>
            <w:tcW w:type="dxa" w:w="2484"/>
          </w:tcPr>
          <w:p>
            <w:r>
              <w:rPr>
                <w:b/>
              </w:rPr>
              <w:t>Condición</w:t>
            </w:r>
          </w:p>
        </w:tc>
      </w:tr>
      <w:tr>
        <w:tc>
          <w:tcPr>
            <w:tcW w:type="dxa" w:w="2484"/>
          </w:tcPr>
          <w:p>
            <w:r>
              <w:t>Inicio</w:t>
            </w:r>
          </w:p>
        </w:tc>
        <w:tc>
          <w:tcPr>
            <w:tcW w:type="dxa" w:w="2484"/>
          </w:tcPr>
          <w:p>
            <w:r>
              <w:t>Firma, acta de inicio y plan de trabajo.</w:t>
            </w:r>
          </w:p>
        </w:tc>
        <w:tc>
          <w:tcPr>
            <w:tcW w:type="dxa" w:w="2484"/>
          </w:tcPr>
          <w:p>
            <w:r>
              <w:t>30 %</w:t>
            </w:r>
          </w:p>
        </w:tc>
        <w:tc>
          <w:tcPr>
            <w:tcW w:type="dxa" w:w="2484"/>
          </w:tcPr>
          <w:p>
            <w:r>
              <w:t>Contra firma.</w:t>
            </w:r>
          </w:p>
        </w:tc>
      </w:tr>
      <w:tr>
        <w:tc>
          <w:tcPr>
            <w:tcW w:type="dxa" w:w="2484"/>
          </w:tcPr>
          <w:p>
            <w:r>
              <w:t>Diseño</w:t>
            </w:r>
          </w:p>
        </w:tc>
        <w:tc>
          <w:tcPr>
            <w:tcW w:type="dxa" w:w="2484"/>
          </w:tcPr>
          <w:p>
            <w:r>
              <w:t>Requisitos aprobados y prototipo.</w:t>
            </w:r>
          </w:p>
        </w:tc>
        <w:tc>
          <w:tcPr>
            <w:tcW w:type="dxa" w:w="2484"/>
          </w:tcPr>
          <w:p>
            <w:r>
              <w:t>20 %</w:t>
            </w:r>
          </w:p>
        </w:tc>
        <w:tc>
          <w:tcPr>
            <w:tcW w:type="dxa" w:w="2484"/>
          </w:tcPr>
          <w:p>
            <w:r>
              <w:t>Aceptación escrita del diseño.</w:t>
            </w:r>
          </w:p>
        </w:tc>
      </w:tr>
      <w:tr>
        <w:tc>
          <w:tcPr>
            <w:tcW w:type="dxa" w:w="2484"/>
          </w:tcPr>
          <w:p>
            <w:r>
              <w:t>Versión funcional</w:t>
            </w:r>
          </w:p>
        </w:tc>
        <w:tc>
          <w:tcPr>
            <w:tcW w:type="dxa" w:w="2484"/>
          </w:tcPr>
          <w:p>
            <w:r>
              <w:t>Módulos acordados en ambiente de pruebas.</w:t>
            </w:r>
          </w:p>
        </w:tc>
        <w:tc>
          <w:tcPr>
            <w:tcW w:type="dxa" w:w="2484"/>
          </w:tcPr>
          <w:p>
            <w:r>
              <w:t>30 %</w:t>
            </w:r>
          </w:p>
        </w:tc>
        <w:tc>
          <w:tcPr>
            <w:tcW w:type="dxa" w:w="2484"/>
          </w:tcPr>
          <w:p>
            <w:r>
              <w:t>Ejecución de pruebas y registro de resultados.</w:t>
            </w:r>
          </w:p>
        </w:tc>
      </w:tr>
      <w:tr>
        <w:tc>
          <w:tcPr>
            <w:tcW w:type="dxa" w:w="2484"/>
          </w:tcPr>
          <w:p>
            <w:r>
              <w:t>Cierre</w:t>
            </w:r>
          </w:p>
        </w:tc>
        <w:tc>
          <w:tcPr>
            <w:tcW w:type="dxa" w:w="2484"/>
          </w:tcPr>
          <w:p>
            <w:r>
              <w:t>Despliegue, capacitación y documentación.</w:t>
            </w:r>
          </w:p>
        </w:tc>
        <w:tc>
          <w:tcPr>
            <w:tcW w:type="dxa" w:w="2484"/>
          </w:tcPr>
          <w:p>
            <w:r>
              <w:t>20 %</w:t>
            </w:r>
          </w:p>
        </w:tc>
        <w:tc>
          <w:tcPr>
            <w:tcW w:type="dxa" w:w="2484"/>
          </w:tcPr>
          <w:p>
            <w:r>
              <w:t>Acta de aceptación final.</w:t>
            </w:r>
          </w:p>
        </w:tc>
      </w:tr>
    </w:tbl>
    <w:p/>
    <w:p>
      <w:pPr>
        <w:pStyle w:val="Heading2"/>
      </w:pPr>
      <w:r>
        <w:t>3.6. Control de cambios</w:t>
      </w:r>
    </w:p>
    <w:p>
      <w:pPr>
        <w:pStyle w:val="ListNumber"/>
      </w:pPr>
      <w:r>
        <w:t>El cliente registra la solicitud del cambio y su motivo.</w:t>
      </w:r>
    </w:p>
    <w:p>
      <w:pPr>
        <w:pStyle w:val="ListNumber"/>
      </w:pPr>
      <w:r>
        <w:t>El proveedor analiza impacto en precio, plazo, seguridad y alcance.</w:t>
      </w:r>
    </w:p>
    <w:p>
      <w:pPr>
        <w:pStyle w:val="ListNumber"/>
      </w:pPr>
      <w:r>
        <w:t>El proveedor presenta una estimación escrita.</w:t>
      </w:r>
    </w:p>
    <w:p>
      <w:pPr>
        <w:pStyle w:val="ListNumber"/>
      </w:pPr>
      <w:r>
        <w:t>El cliente aprueba o rechaza la cotización por escrito.</w:t>
      </w:r>
    </w:p>
    <w:p>
      <w:pPr>
        <w:pStyle w:val="ListNumber"/>
      </w:pPr>
      <w:r>
        <w:t>El cambio solo se ejecuta después de la aprobación formal.</w:t>
      </w:r>
    </w:p>
    <w:p>
      <w:pPr>
        <w:pStyle w:val="ListNumber"/>
      </w:pPr>
      <w:r>
        <w:t>Se actualizan el SOW, el cronograma y los criterios de aceptación cuando corresponda.</w:t>
      </w:r>
    </w:p>
    <w:p>
      <w:pPr>
        <w:pStyle w:val="Heading2"/>
      </w:pPr>
      <w:r>
        <w:t>3.7. Documentos priorizados</w:t>
      </w:r>
    </w:p>
    <w:p>
      <w:pPr>
        <w:pStyle w:val="ListNumber"/>
      </w:pPr>
      <w:r>
        <w:t>Acta de descubrimiento y levantamiento de requisitos.</w:t>
      </w:r>
    </w:p>
    <w:p>
      <w:pPr>
        <w:pStyle w:val="ListNumber"/>
      </w:pPr>
      <w:r>
        <w:t>Propuesta económica por fase.</w:t>
      </w:r>
    </w:p>
    <w:p>
      <w:pPr>
        <w:pStyle w:val="ListNumber"/>
      </w:pPr>
      <w:r>
        <w:t>SOW con alcance incluido y excluido.</w:t>
      </w:r>
    </w:p>
    <w:p>
      <w:pPr>
        <w:pStyle w:val="ListNumber"/>
      </w:pPr>
      <w:r>
        <w:t>Contrato de desarrollo de software.</w:t>
      </w:r>
    </w:p>
    <w:p>
      <w:pPr>
        <w:pStyle w:val="ListNumber"/>
      </w:pPr>
      <w:r>
        <w:t>Cronograma de hitos y pagos.</w:t>
      </w:r>
    </w:p>
    <w:p>
      <w:pPr>
        <w:pStyle w:val="ListNumber"/>
      </w:pPr>
      <w:r>
        <w:t>Prototipo y documento de diseño aprobado.</w:t>
      </w:r>
    </w:p>
    <w:p>
      <w:pPr>
        <w:pStyle w:val="ListNumber"/>
      </w:pPr>
      <w:r>
        <w:t>Matriz de riesgos, dependencias y responsabilidades.</w:t>
      </w:r>
    </w:p>
    <w:p>
      <w:pPr>
        <w:pStyle w:val="ListNumber"/>
      </w:pPr>
      <w:r>
        <w:t>Plan de pruebas y criterios de aceptación.</w:t>
      </w:r>
    </w:p>
    <w:p>
      <w:pPr>
        <w:pStyle w:val="ListNumber"/>
      </w:pPr>
      <w:r>
        <w:t>Procedimiento de control de cambios.</w:t>
      </w:r>
    </w:p>
    <w:p>
      <w:pPr>
        <w:pStyle w:val="ListNumber"/>
      </w:pPr>
      <w:r>
        <w:t>Cláusulas de propiedad intelectual, confidencialidad y datos personales.</w:t>
      </w:r>
    </w:p>
    <w:p>
      <w:pPr>
        <w:pStyle w:val="ListNumber"/>
      </w:pPr>
      <w:r>
        <w:t>Actas de entrega, garantía y plan de mantenimiento.</w:t>
      </w:r>
    </w:p>
    <w:p>
      <w:pPr>
        <w:pStyle w:val="Heading2"/>
      </w:pPr>
      <w:r>
        <w:t>3.8. Cláusula redactada: alcance y control de cambios</w:t>
      </w:r>
    </w:p>
    <w:p>
      <w:r>
        <w:t>“El proveedor desarrollará únicamente las funcionalidades descritas en el SOW aprobado por ambas partes. Las funciones, integraciones, reportes o modificaciones que no estén expresamente incluidas se considerarán fuera del alcance. Toda solicitud de cambio será evaluada por el proveedor y deberá indicar su impacto en costos, cronograma y criterios de aceptación. Ningún cambio será obligatorio ni comenzará a ejecutarse sin aprobación escrita de ambas partes. Los retrasos ocasionados por la falta de información, accesos, decisiones o aprobaciones del cliente podrán modificar las fechas de entrega mediante actualización documentada del cronograma.”</w:t>
      </w:r>
    </w:p>
    <w:p>
      <w:pPr>
        <w:pStyle w:val="Heading2"/>
      </w:pPr>
      <w:r>
        <w:t>3.9. Cierre del caso</w:t>
      </w:r>
    </w:p>
    <w:p>
      <w:r>
        <w:t>Se recomienda no aceptar un precio cerrado con requisitos verbales. La fase de descubrimiento permite conocer la necesidad real, reducir riesgos y construir una propuesta económica defendible.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Soluciones Digitales Andinas S.A.S. | Sector privado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