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2506500" cy="102898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500" cy="102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iluminação e análise de movimentação em condomínios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Antonio Lima RA: 01212147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Gabriela Noleto RA: 01212061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Igor Gomes RA: 01212109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Mariana Cazzoto RA: 01212044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Mayara Mota RA: 01212163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sz w:val="24"/>
          <w:szCs w:val="24"/>
          <w:rtl w:val="0"/>
        </w:rPr>
        <w:t xml:space="preserve">Quando se trata de condomínios, tanto empresariais quanto residenciais, uma das despesas variáveis que mais se acumulam são as relacionadas à energia elétrica. Com as tarifas variando de acordo com oscilações na produção e os efeitos da estiagem em um País no qual quase toda energia provém das hidrelétricas, representando 70% da matriz elétrica nacional, as novas tecnologias auxiliam os administradores na redução do consumo.</w:t>
      </w:r>
    </w:p>
    <w:p w:rsidR="00000000" w:rsidDel="00000000" w:rsidP="00000000" w:rsidRDefault="00000000" w:rsidRPr="00000000" w14:paraId="0000000A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 regra é quase universal: “O último a sair apaga a luz”. No entanto, quando se trata da administração e controle das luzes de um condomínio, independente de seu tamanho, ela não é válida. É preciso pensar em medidas que garantam o uso mais inteligente da energia elétrica dentro do edifício, otimizando o consumo e aumentando a eficiência energética.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Uma das maneiras de se aplicar estes conceitos em seu ambiente é através de sensores de desligamento automático, pois eles reduzem o consumo de energia em corredores, salas ou outros espaços, estes que às vezes ficam desocupados.</w:t>
      </w:r>
    </w:p>
    <w:p w:rsidR="00000000" w:rsidDel="00000000" w:rsidP="00000000" w:rsidRDefault="00000000" w:rsidRPr="00000000" w14:paraId="0000000C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Outro ponto importante a ser tocado é sobre a questão de ociosidade em prédios e condomínios. No contexto de crise econômica, o resultado no setor imobiliário é a forte presença de edifícios sem ocupação nos centros urbanos. No estudo realizado pela Buildings, empresa especializada em pesquisa no setor mobiliário corporativo, foi identificado em 2017 que 47,08% dos edifícios estavam vagos no Rio de Janeiro (RJ).</w:t>
      </w:r>
    </w:p>
    <w:p w:rsidR="00000000" w:rsidDel="00000000" w:rsidP="00000000" w:rsidRDefault="00000000" w:rsidRPr="00000000" w14:paraId="0000000D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É válido explicitar a importância de manter a alta taxa de ocupação nos imóveis, visto que com o prédio ocupado e em funcionamento, a manutenção das áreas privativas é de responsabilidade dos ocupantes. Nesse caso, somente as áreas comuns são geridas pelo condomínio. Ainda sobre a ocupação, de acordo com o Estatuto da Cidade, o edifício deve cumprir a sua função social. Cada município estabelece um período em que a área pode ficar desocupada. Portanto, se você mantiver a ocupação de um imóvel e colocá-lo em funcionamento, é garantido um IPTU dentro do valor de mercado, evitando multas e permitindo que a legislação seja cumprida com regularidade.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Ao manter uma alta taxa de ocupação no imóvel, o proprietário mantém seu fluxo de aluguéis em atividade, evita perda de valor de mercado e minimiza a geração de custos sem a compensação por recebimentos.</w:t>
      </w:r>
    </w:p>
    <w:p w:rsidR="00000000" w:rsidDel="00000000" w:rsidP="00000000" w:rsidRDefault="00000000" w:rsidRPr="00000000" w14:paraId="0000000F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TecShine busca monitorar a movimentação de um condomínio para que tenha tanto um consumo mais eficiente de energia, quanto à tomada de decisões sobre os espaços que os sensores serão instalados.</w:t>
      </w:r>
    </w:p>
    <w:p w:rsidR="00000000" w:rsidDel="00000000" w:rsidP="00000000" w:rsidRDefault="00000000" w:rsidRPr="00000000" w14:paraId="00000010">
      <w:pPr>
        <w:spacing w:before="2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Iremos exemplificar através de uma pequena simulação como funcionaria a aplicação da nossa solução quanto à captação do sensor de movimentação.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 TecShine acaba de fechar contrato com o Edifício das Flores, localizado na capital de São Paulo, que possui como atividade principal a disponibilização de ambientes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coworking</w:t>
      </w:r>
      <w:r w:rsidDel="00000000" w:rsidR="00000000" w:rsidRPr="00000000">
        <w:rPr>
          <w:sz w:val="24"/>
          <w:szCs w:val="24"/>
          <w:rtl w:val="0"/>
        </w:rPr>
        <w:t xml:space="preserve">. O edifício possui 8 andares mais o térreo e cada andar possui 10 salas, além dos corredores e banheiros. Propomos colocar os sensores em cada sala de cada andar, juntamente com a iluminação necessária. 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61400" cy="1634950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400" cy="1634950"/>
                    </a:xfrm>
                    <a:prstGeom prst="rect"/>
                    <a:ln w="38100">
                      <a:solidFill>
                        <a:srgbClr val="FFD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Entendemos que o ideal é pelo menos 86,15% da ocupação, enquanto o pior cenário possível é abaixo dos 50% da sua ocupação. Nisso criamos uma métrica: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066820" cy="2895650"/>
            <wp:effectExtent b="38100" l="38100" r="38100" t="381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820" cy="2895650"/>
                    </a:xfrm>
                    <a:prstGeom prst="rect"/>
                    <a:ln w="38100">
                      <a:solidFill>
                        <a:srgbClr val="FFD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um mês com o sistema em funcionamento, recebemos os seguintes dados referente a ocupação geral das salas do prédio:</w:t>
      </w:r>
    </w:p>
    <w:p w:rsidR="00000000" w:rsidDel="00000000" w:rsidP="00000000" w:rsidRDefault="00000000" w:rsidRPr="00000000" w14:paraId="00000016">
      <w:pPr>
        <w:spacing w:before="240" w:line="276" w:lineRule="auto"/>
        <w:ind w:firstLine="7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334000" cy="2867025"/>
            <wp:effectExtent b="38100" l="38100" r="38100" t="381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7025"/>
                    </a:xfrm>
                    <a:prstGeom prst="rect"/>
                    <a:ln w="38100">
                      <a:solidFill>
                        <a:srgbClr val="FFD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76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76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proprietário do condomínio analisando os resultados pode tomar alguma decisão para que a ocupação do prédio aumente. Então vemos que a nossa proposta ajuda esses condomínios a curto, médio e longo prazo.</w:t>
      </w:r>
    </w:p>
    <w:p w:rsidR="00000000" w:rsidDel="00000000" w:rsidP="00000000" w:rsidRDefault="00000000" w:rsidRPr="00000000" w14:paraId="00000019">
      <w:pPr>
        <w:spacing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alcançar a eficiência energética, iremos combinar o sensor com lâmpadas inteligentes. </w:t>
      </w:r>
    </w:p>
    <w:p w:rsidR="00000000" w:rsidDel="00000000" w:rsidP="00000000" w:rsidRDefault="00000000" w:rsidRPr="00000000" w14:paraId="0000001A">
      <w:pPr>
        <w:spacing w:before="24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usando o exemplo do Edifício das Flores, na nossa história o cliente solicitou 15 sensores por andar (1 para cada sala, e mais 5 para os corredores) e acompanhado de cada sensor uma lâmpada:</w:t>
      </w:r>
    </w:p>
    <w:p w:rsidR="00000000" w:rsidDel="00000000" w:rsidP="00000000" w:rsidRDefault="00000000" w:rsidRPr="00000000" w14:paraId="0000001B">
      <w:pPr>
        <w:spacing w:before="240" w:line="276" w:lineRule="auto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3775" cy="1666875"/>
            <wp:effectExtent b="38100" l="38100" r="38100" t="381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/>
                    <a:ln w="38100">
                      <a:solidFill>
                        <a:srgbClr val="FFD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os seguintes fatores: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4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lâmpadas nos corredores utilizaram somente 30% de sua intensidade caso não tenha nenhuma presença;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tenha presença no corredor, a intensidade da lâmpada altera para 100% por 15 segundos;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tenha alguma movimentação no corredor depois de 10 segundos da lâmpada em 100%, a contagem se reinicia, fazendo com que a lâmpada fique mais 15 segundos em sua intensidade máxima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4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lâmpadas nas salas repetiram o mesmo comportamento das dos corredores, contudo sua intensidade inicial será 0%.</w:t>
      </w:r>
    </w:p>
    <w:p w:rsidR="00000000" w:rsidDel="00000000" w:rsidP="00000000" w:rsidRDefault="00000000" w:rsidRPr="00000000" w14:paraId="00000021">
      <w:pPr>
        <w:spacing w:after="20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Seguindo essa linha de pensamento, considerando que a média de consumo padrão de uma lâmpada fluorescente é de 1.65KwH no período de um mês. Considerando a quantidade de lâmpadas no condomínio, isso daria R$ 681,12 sem a nossa solução (quantidade de Watts hora * horas mensais * preço médio por Watts)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  a nossa solução, é estimado 30% de economia no consumo mensal de energia, isso daria 1.15KwH no mês, resultando em R$ 474,72.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Referências: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hyperlink r:id="rId11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No Rio, um a cada dois edifícios comerciais de alto padrão está vazio (estadao.com.br)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hyperlink r:id="rId13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L10257 (planalto.gov.br)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Hidrelétrica ainda representa 70% da matriz elétrica nacional (portalsolar.com.br)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Sensores: Um dos melhores investimentos para a economia do seu condomínio (direcionalcondominios.com.br)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Preço kWh CPFL 2021 (ngsolar.com.br)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Calcule o seu consumo de energia | EcoPlanet 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conomia.estadao.com.br/blogs/radar-imobiliario/no-rio-um-a-cada-dois-edificios-comerciais-de-alto-padrao-esta-vazio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www.planalto.gov.br/ccivil_03/leis/LEIS_2001/L10257.htm" TargetMode="External"/><Relationship Id="rId12" Type="http://schemas.openxmlformats.org/officeDocument/2006/relationships/hyperlink" Target="https://economia.estadao.com.br/blogs/radar-imobiliario/no-rio-um-a-cada-dois-edificios-comerciais-de-alto-padrao-esta-vaz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portalsolar.com.br/blog-solar/energia-solar/hidreletrica-ainda-representa-70-da-matriz-eletrica-nacional.html" TargetMode="External"/><Relationship Id="rId14" Type="http://schemas.openxmlformats.org/officeDocument/2006/relationships/hyperlink" Target="http://www.planalto.gov.br/ccivil_03/leis/LEIS_2001/L10257.htm" TargetMode="External"/><Relationship Id="rId17" Type="http://schemas.openxmlformats.org/officeDocument/2006/relationships/hyperlink" Target="https://www.direcionalcondominios.com.br/sindicos/informes/item/4715-sensores-um-dos-melhores-investimentos-para-a-economia-do-seu-condominio.html" TargetMode="External"/><Relationship Id="rId16" Type="http://schemas.openxmlformats.org/officeDocument/2006/relationships/hyperlink" Target="https://www.portalsolar.com.br/blog-solar/energia-solar/hidreletrica-ainda-representa-70-da-matriz-eletrica-nacion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ecoplanetenergy.com/pt-br/sobre-eco-energia/calcule-consumo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ngsolar.com.br/single-post/preco-kwh-cpf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