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06FA" w:rsidRDefault="00B12EAD">
      <w:pPr>
        <w:spacing w:before="240" w:after="240"/>
        <w:jc w:val="center"/>
        <w:rPr>
          <w:b/>
          <w:bCs/>
        </w:rPr>
      </w:pPr>
      <w:r>
        <w:rPr>
          <w:b/>
          <w:bCs/>
        </w:rPr>
        <w:t>TALLER  6 DOING ECONOMICS</w:t>
      </w:r>
    </w:p>
    <w:p w:rsidR="009A06FA" w:rsidRDefault="00B12EAD">
      <w:pPr>
        <w:pStyle w:val="Ttulo2"/>
        <w:keepNext w:val="0"/>
        <w:keepLines w:val="0"/>
        <w:pBdr>
          <w:bottom w:val="none" w:sz="0" w:space="5" w:color="auto"/>
        </w:pBdr>
        <w:shd w:val="clear" w:color="auto" w:fill="FFFFFF"/>
        <w:spacing w:after="240" w:line="300" w:lineRule="auto"/>
        <w:rPr>
          <w:b/>
          <w:bCs/>
          <w:color w:val="1F2328"/>
          <w:sz w:val="22"/>
          <w:szCs w:val="22"/>
        </w:rPr>
      </w:pPr>
      <w:bookmarkStart w:id="0" w:name="_fmske4m32kf" w:colFirst="0" w:colLast="0"/>
      <w:bookmarkEnd w:id="0"/>
      <w:r>
        <w:rPr>
          <w:b/>
          <w:bCs/>
          <w:color w:val="1F2328"/>
          <w:sz w:val="22"/>
          <w:szCs w:val="22"/>
        </w:rPr>
        <w:t>Equipo consultor</w:t>
      </w:r>
    </w:p>
    <w:tbl>
      <w:tblPr>
        <w:tblStyle w:val="a"/>
        <w:tblW w:w="82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55"/>
        <w:gridCol w:w="4980"/>
      </w:tblGrid>
      <w:tr w:rsidR="009A06FA">
        <w:trPr>
          <w:trHeight w:val="510"/>
        </w:trPr>
        <w:tc>
          <w:tcPr>
            <w:tcW w:w="32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jc w:val="center"/>
              <w:rPr>
                <w:sz w:val="24"/>
                <w:szCs w:val="24"/>
              </w:rPr>
            </w:pPr>
            <w:r>
              <w:rPr>
                <w:sz w:val="24"/>
                <w:szCs w:val="24"/>
              </w:rPr>
              <w:t>Integrante</w:t>
            </w:r>
          </w:p>
        </w:tc>
        <w:tc>
          <w:tcPr>
            <w:tcW w:w="498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jc w:val="center"/>
              <w:rPr>
                <w:sz w:val="24"/>
                <w:szCs w:val="24"/>
              </w:rPr>
            </w:pPr>
            <w:r>
              <w:rPr>
                <w:sz w:val="24"/>
                <w:szCs w:val="24"/>
              </w:rPr>
              <w:t>Rol</w:t>
            </w:r>
          </w:p>
        </w:tc>
      </w:tr>
      <w:tr w:rsidR="009A06FA">
        <w:trPr>
          <w:trHeight w:val="510"/>
        </w:trPr>
        <w:tc>
          <w:tcPr>
            <w:tcW w:w="32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 xml:space="preserve">David </w:t>
            </w:r>
            <w:proofErr w:type="spellStart"/>
            <w:r>
              <w:rPr>
                <w:i/>
                <w:iCs/>
              </w:rPr>
              <w:t>Pascagaza</w:t>
            </w:r>
            <w:proofErr w:type="spellEnd"/>
            <w:r>
              <w:rPr>
                <w:i/>
                <w:iCs/>
              </w:rPr>
              <w:t xml:space="preserve"> </w:t>
            </w:r>
            <w:proofErr w:type="spellStart"/>
            <w:r>
              <w:rPr>
                <w:i/>
                <w:iCs/>
              </w:rPr>
              <w:t>Rodriguez</w:t>
            </w:r>
            <w:proofErr w:type="spellEnd"/>
          </w:p>
        </w:tc>
        <w:tc>
          <w:tcPr>
            <w:tcW w:w="498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Líder de proyecto</w:t>
            </w:r>
          </w:p>
        </w:tc>
      </w:tr>
      <w:tr w:rsidR="009A06FA">
        <w:trPr>
          <w:trHeight w:val="510"/>
        </w:trPr>
        <w:tc>
          <w:tcPr>
            <w:tcW w:w="32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 xml:space="preserve">Sara </w:t>
            </w:r>
            <w:proofErr w:type="spellStart"/>
            <w:r>
              <w:rPr>
                <w:i/>
                <w:iCs/>
              </w:rPr>
              <w:t>Rodriguez</w:t>
            </w:r>
            <w:proofErr w:type="spellEnd"/>
            <w:r>
              <w:rPr>
                <w:i/>
                <w:iCs/>
              </w:rPr>
              <w:t xml:space="preserve"> Moreno</w:t>
            </w:r>
          </w:p>
        </w:tc>
        <w:tc>
          <w:tcPr>
            <w:tcW w:w="498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Analista cuantitativo</w:t>
            </w:r>
          </w:p>
        </w:tc>
      </w:tr>
      <w:tr w:rsidR="009A06FA">
        <w:trPr>
          <w:trHeight w:val="510"/>
        </w:trPr>
        <w:tc>
          <w:tcPr>
            <w:tcW w:w="32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Mariana Forigua Tamayo</w:t>
            </w:r>
          </w:p>
        </w:tc>
        <w:tc>
          <w:tcPr>
            <w:tcW w:w="498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Especialista en visualización y comunicación</w:t>
            </w:r>
          </w:p>
        </w:tc>
      </w:tr>
      <w:tr w:rsidR="009A06FA">
        <w:trPr>
          <w:trHeight w:val="510"/>
        </w:trPr>
        <w:tc>
          <w:tcPr>
            <w:tcW w:w="3255"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 xml:space="preserve">Santiago Cortes </w:t>
            </w:r>
            <w:proofErr w:type="spellStart"/>
            <w:r>
              <w:rPr>
                <w:i/>
                <w:iCs/>
              </w:rPr>
              <w:t>Gomez</w:t>
            </w:r>
            <w:proofErr w:type="spellEnd"/>
          </w:p>
        </w:tc>
        <w:tc>
          <w:tcPr>
            <w:tcW w:w="4980" w:type="dxa"/>
            <w:tcBorders>
              <w:top w:val="single" w:sz="6" w:space="0" w:color="D1D9E0"/>
              <w:left w:val="single" w:sz="6" w:space="0" w:color="D1D9E0"/>
              <w:bottom w:val="single" w:sz="6" w:space="0" w:color="D1D9E0"/>
              <w:right w:val="single" w:sz="6" w:space="0" w:color="D1D9E0"/>
            </w:tcBorders>
            <w:tcMar>
              <w:top w:w="100" w:type="dxa"/>
              <w:left w:w="200" w:type="dxa"/>
              <w:bottom w:w="100" w:type="dxa"/>
              <w:right w:w="200" w:type="dxa"/>
            </w:tcMar>
          </w:tcPr>
          <w:p w:rsidR="009A06FA" w:rsidRDefault="00B12EAD">
            <w:pPr>
              <w:spacing w:after="240"/>
            </w:pPr>
            <w:r>
              <w:rPr>
                <w:i/>
                <w:iCs/>
              </w:rPr>
              <w:t>Especialista en reproducibilidad y datos</w:t>
            </w:r>
          </w:p>
        </w:tc>
      </w:tr>
    </w:tbl>
    <w:p w:rsidR="009A06FA" w:rsidRDefault="009A06FA">
      <w:pPr>
        <w:spacing w:before="240" w:after="240"/>
        <w:rPr>
          <w:b/>
          <w:bCs/>
        </w:rPr>
      </w:pPr>
    </w:p>
    <w:p w:rsidR="009A06FA" w:rsidRDefault="00B12EAD">
      <w:pPr>
        <w:spacing w:before="240" w:after="240"/>
        <w:jc w:val="both"/>
      </w:pPr>
      <w:r>
        <w:t xml:space="preserve">En este taller, primero aprenderemos cómo recolectar datos experimentales jugando un </w:t>
      </w:r>
      <w:r>
        <w:rPr>
          <w:b/>
          <w:bCs/>
        </w:rPr>
        <w:t>juego de bienes públicos</w:t>
      </w:r>
      <w:r>
        <w:t xml:space="preserve"> y generando nuestra propia información. Luego, exploraremos distintas formas de describir y analizar los datos experimentales de los dos juegos pr</w:t>
      </w:r>
      <w:r>
        <w:t>esentados anteriormente, con el fin de responder a dos preguntas de investigación clave:</w:t>
      </w:r>
    </w:p>
    <w:p w:rsidR="009A06FA" w:rsidRDefault="00B12EAD">
      <w:pPr>
        <w:spacing w:before="240" w:after="240"/>
        <w:ind w:left="1080" w:hanging="360"/>
      </w:pPr>
      <w:r>
        <w:t>1.</w:t>
      </w:r>
      <w:r>
        <w:rPr>
          <w:rFonts w:ascii="Times New Roman" w:eastAsia="Times New Roman" w:hAnsi="Times New Roman" w:cs="Times New Roman"/>
          <w:sz w:val="14"/>
          <w:szCs w:val="14"/>
        </w:rPr>
        <w:t xml:space="preserve">   </w:t>
      </w:r>
      <w:proofErr w:type="gramStart"/>
      <w:r>
        <w:rPr>
          <w:rFonts w:ascii="Times New Roman" w:eastAsia="Times New Roman" w:hAnsi="Times New Roman" w:cs="Times New Roman"/>
          <w:sz w:val="14"/>
          <w:szCs w:val="14"/>
        </w:rPr>
        <w:t xml:space="preserve">   </w:t>
      </w:r>
      <w:r>
        <w:t>¿</w:t>
      </w:r>
      <w:proofErr w:type="gramEnd"/>
      <w:r>
        <w:t>Hubo diferencias en el comportamiento (contribuciones promedio) entre los experimentos?</w:t>
      </w:r>
    </w:p>
    <w:p w:rsidR="009A06FA" w:rsidRDefault="00B12EAD">
      <w:pPr>
        <w:spacing w:before="240" w:after="240"/>
        <w:ind w:left="1080" w:hanging="360"/>
      </w:pPr>
      <w:r>
        <w:t>2.</w:t>
      </w:r>
      <w:r>
        <w:rPr>
          <w:rFonts w:ascii="Times New Roman" w:eastAsia="Times New Roman" w:hAnsi="Times New Roman" w:cs="Times New Roman"/>
          <w:sz w:val="14"/>
          <w:szCs w:val="14"/>
        </w:rPr>
        <w:t xml:space="preserve">   </w:t>
      </w:r>
      <w:proofErr w:type="gramStart"/>
      <w:r>
        <w:rPr>
          <w:rFonts w:ascii="Times New Roman" w:eastAsia="Times New Roman" w:hAnsi="Times New Roman" w:cs="Times New Roman"/>
          <w:sz w:val="14"/>
          <w:szCs w:val="14"/>
        </w:rPr>
        <w:t xml:space="preserve">   </w:t>
      </w:r>
      <w:r>
        <w:t>¿</w:t>
      </w:r>
      <w:proofErr w:type="gramEnd"/>
      <w:r>
        <w:t>Podemos atribuir las diferencias observadas en el comportamie</w:t>
      </w:r>
      <w:r>
        <w:t>nto al cambio en las condiciones del juego, y no simplemente al azar o la coincidencia?</w:t>
      </w:r>
    </w:p>
    <w:p w:rsidR="009A06FA" w:rsidRDefault="00B12EAD">
      <w:pPr>
        <w:spacing w:after="200"/>
        <w:jc w:val="both"/>
      </w:pPr>
      <w:r>
        <w:t xml:space="preserve"> </w:t>
      </w:r>
    </w:p>
    <w:p w:rsidR="009A06FA" w:rsidRDefault="00B12EAD">
      <w:pPr>
        <w:pStyle w:val="Ttulo2"/>
        <w:keepNext w:val="0"/>
        <w:keepLines w:val="0"/>
        <w:spacing w:after="80"/>
        <w:rPr>
          <w:b/>
          <w:bCs/>
          <w:sz w:val="34"/>
          <w:szCs w:val="34"/>
        </w:rPr>
      </w:pPr>
      <w:bookmarkStart w:id="1" w:name="_eyt6ou7irgwd" w:colFirst="0" w:colLast="0"/>
      <w:bookmarkEnd w:id="1"/>
      <w:r>
        <w:rPr>
          <w:b/>
          <w:bCs/>
          <w:sz w:val="34"/>
          <w:szCs w:val="34"/>
        </w:rPr>
        <w:t>Parte 2.1 Recolectando datos jugando</w:t>
      </w:r>
    </w:p>
    <w:p w:rsidR="009A06FA" w:rsidRDefault="00B12EAD">
      <w:pPr>
        <w:spacing w:after="200"/>
      </w:pPr>
      <w:r>
        <w:t xml:space="preserve">P2.1.1 Haz un gráfico de líneas con la contribución promedio en el eje vertical y el período (del 1 al 10) en el eje horizontal. </w:t>
      </w:r>
      <w:r>
        <w:t>Describe cómo han cambiado las contribuciones promedio a lo largo del juego.</w:t>
      </w:r>
    </w:p>
    <w:p w:rsidR="009A06FA" w:rsidRDefault="00B12EAD">
      <w:pPr>
        <w:spacing w:after="200"/>
      </w:pPr>
      <w:r>
        <w:rPr>
          <w:noProof/>
        </w:rPr>
        <w:lastRenderedPageBreak/>
        <w:drawing>
          <wp:inline distT="114300" distB="114300" distL="114300" distR="114300">
            <wp:extent cx="5657850" cy="3429000"/>
            <wp:effectExtent l="0" t="0" r="0" b="0"/>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
                    <a:srcRect t="11980" r="1329"/>
                    <a:stretch>
                      <a:fillRect/>
                    </a:stretch>
                  </pic:blipFill>
                  <pic:spPr>
                    <a:xfrm>
                      <a:off x="0" y="0"/>
                      <a:ext cx="5657850" cy="3429000"/>
                    </a:xfrm>
                    <a:prstGeom prst="rect">
                      <a:avLst/>
                    </a:prstGeom>
                    <a:ln/>
                  </pic:spPr>
                </pic:pic>
              </a:graphicData>
            </a:graphic>
          </wp:inline>
        </w:drawing>
      </w:r>
    </w:p>
    <w:p w:rsidR="009A06FA" w:rsidRDefault="00B12EAD">
      <w:pPr>
        <w:spacing w:after="200"/>
      </w:pPr>
      <w:r>
        <w:t>P2.1.2 Compara tu gráfico de líneas con la Figura 3 de Herrmann et al. (2008). Comenta cualquier similitud o diferencia entre los resultados (por ejemplo, la cantidad aportada a</w:t>
      </w:r>
      <w:r>
        <w:t>l inicio y al final, o el cambio en las contribuciones promedio a lo largo del juego).</w:t>
      </w:r>
    </w:p>
    <w:p w:rsidR="009A06FA" w:rsidRDefault="00B12EAD">
      <w:pPr>
        <w:spacing w:after="200"/>
      </w:pPr>
      <w:r>
        <w:t xml:space="preserve">Según esta gráfica, la contribución arranca en 44.6 en el periodo 1 y desciende hasta 18.0 en el periodo 4, es más de la cantidad del aporte que se pierde en solo tres rondas, partiendo desde ese punto, la línea luego deja de bajar derecho, porque sube en </w:t>
      </w:r>
      <w:r>
        <w:t>el periodo 5 a 19.5, se hunde de nievo en el periodo 6 (8.3 el mínimo hasta ese punto), rebota en el 17 con 16.4, toca el punto más bajo en el periodo 9 con 4.6 para luego volver a subir en el periodo 10 con 12.3. La tendencia es decreciente, pero el cambi</w:t>
      </w:r>
      <w:r>
        <w:t>o tiene periodos en los que sube después del periodo 4, claramente no es una caída limpia.</w:t>
      </w:r>
    </w:p>
    <w:p w:rsidR="009A06FA" w:rsidRDefault="00B12EAD">
      <w:pPr>
        <w:spacing w:after="200"/>
      </w:pPr>
      <w:r>
        <w:t>P2.1.3 Compara tu gráfico de líneas con la Figura 3 de Herrmann et al. (2008). Comenta cualquier similitud o diferencia entre los resultados (por ejemplo, la cantida</w:t>
      </w:r>
      <w:r>
        <w:t>d aportada al inicio y al final, o el cambio en las contribuciones promedio a lo largo del juego).</w:t>
      </w:r>
    </w:p>
    <w:p w:rsidR="009A06FA" w:rsidRDefault="00B12EAD">
      <w:pPr>
        <w:spacing w:after="200"/>
      </w:pPr>
      <w:r>
        <w:t>Al comparar el gráfico de contribución promedio del Juego 1 con la Figura 3 de Herrmann et al. (2008) que corresponde al promedio de las 16 ciudades del estu</w:t>
      </w:r>
      <w:r>
        <w:t xml:space="preserve">dio bajo la condición sin castigo se observa una similitud fundamental: ambas series presentan una tendencia decreciente a lo largo de los diez períodos, consistente con la predicción teórica del comportamiento de free </w:t>
      </w:r>
      <w:proofErr w:type="spellStart"/>
      <w:r>
        <w:t>riding</w:t>
      </w:r>
      <w:proofErr w:type="spellEnd"/>
      <w:r>
        <w:t xml:space="preserve"> en ausencia de un mecanismo de</w:t>
      </w:r>
      <w:r>
        <w:t xml:space="preserve"> sanción. Sin embargo, existen diferencias notables entre ambas trayectorias. En el Juego 1, la contribución promedio parte de un nivel considerablemente más alto (cercano a 44.5) y cae de forma abrupta durante los primeros cuatro períodos hasta situarse a</w:t>
      </w:r>
      <w:r>
        <w:t>lrededor de 18, mientras que en Herrmann et al. La contribución inicial es de aproximadamente 10.6 equivalente a poco más de la mitad de la dotación de 20 tokens y el descenso es mucho más gradual, alcanzando un valor de 4.4 solo hasta el décimo período. A</w:t>
      </w:r>
      <w:r>
        <w:t xml:space="preserve">dicionalmente, la forma de ambas curvas difiere de manera importante: mientras que la serie de Herrmann et al. decae de forma prácticamente monótona y suave, sin reversiones significativas, la curva del Juego </w:t>
      </w:r>
      <w:r>
        <w:lastRenderedPageBreak/>
        <w:t>1 muestra un patrón irregular, con caídas pronu</w:t>
      </w:r>
      <w:r>
        <w:t xml:space="preserve">nciadas seguidas de recuperaciones parciales en los períodos 5, 7 y 10, lo que sugiere una mayor volatilidad en el comportamiento de contribución período a período. </w:t>
      </w:r>
    </w:p>
    <w:p w:rsidR="009A06FA" w:rsidRDefault="00B12EAD">
      <w:pPr>
        <w:spacing w:after="200"/>
      </w:pPr>
      <w:r>
        <w:t xml:space="preserve">P2.1.4 ¿Se te ocurre alguna razón por la cual tus resultados son similares (o diferentes) </w:t>
      </w:r>
      <w:r>
        <w:t>a los de la Figura 3? Puede resultar útil leer la sección “</w:t>
      </w:r>
      <w:proofErr w:type="spellStart"/>
      <w:r>
        <w:t>Experiments</w:t>
      </w:r>
      <w:proofErr w:type="spellEnd"/>
      <w:r>
        <w:t>” del estudio de Herrmann et al. (2008) para una descripción más detallada de cómo se realizaron los experimentos.</w:t>
      </w:r>
    </w:p>
    <w:p w:rsidR="009A06FA" w:rsidRDefault="00B12EAD">
      <w:pPr>
        <w:spacing w:after="200"/>
      </w:pPr>
      <w:r>
        <w:t>Las diferencias observadas pueden explicarse principalmente por las car</w:t>
      </w:r>
      <w:r>
        <w:t>acterísticas del diseño experimental descritas en la sección "</w:t>
      </w:r>
      <w:proofErr w:type="spellStart"/>
      <w:r>
        <w:t>Experiments</w:t>
      </w:r>
      <w:proofErr w:type="spellEnd"/>
      <w:r>
        <w:t xml:space="preserve">" del estudio de Herrmann et al. (2008). En primer lugar, los resultados de dicho estudio corresponden al promedio de 16 </w:t>
      </w:r>
      <w:proofErr w:type="spellStart"/>
      <w:r>
        <w:t>participant</w:t>
      </w:r>
      <w:proofErr w:type="spellEnd"/>
      <w:r>
        <w:t xml:space="preserve"> pools con aproximadamente 1,120 estudiantes en tot</w:t>
      </w:r>
      <w:r>
        <w:t>al, lo cual suaviza considerablemente el ruido idiosincrático propio de cualquier grupo individual; en contraste, el Juego 1 probablemente refleja el comportamiento de un número mucho menor de grupos posiblemente uno solo, jugado en el salón de clase, de m</w:t>
      </w:r>
      <w:r>
        <w:t>odo que la decisión de un único participante tiene un peso proporcionalmente mucho mayor sobre el promedio observado, lo que explicaría la mayor volatilidad y los rebotes en la serie. En segundo lugar, el diseño de Herrmann et al. garantiza anonimato estri</w:t>
      </w:r>
      <w:r>
        <w:t>cto entre los miembros del grupo durante toda la interacción, mientras que en un ejercicio realizado en clase es probable que los participantes conocieran o intuyeron la identidad de sus compañeros de grupo, lo cual puede introducir dinámicas de reciprocid</w:t>
      </w:r>
      <w:r>
        <w:t>ad directa o reacciones observables ante el comportamiento de otro individuo específico, en lugar de una simple maximización anónima del beneficio propio. Asimismo, la diferencia en la escala de los valores cercanos a 44.5 en el Juego 1 frente a una dotaci</w:t>
      </w:r>
      <w:r>
        <w:t>ón de 20 tokens en el estudio original indica que el ejercicio de clase pudo haber utilizado una dotación o unidad monetaria distinta, por lo que la comparación entre ambos experimentos debe limitarse a la tendencia relativa de las contribuciones y no a su</w:t>
      </w:r>
      <w:r>
        <w:t>s niveles absolutos. Finalmente, es posible que el hecho de que los participantes del Juego 1 estuvieran estudiando simultáneamente la teoría del juego de bienes públicos haya influido en un comportamiento más estratégico o experimental que el de los sujet</w:t>
      </w:r>
      <w:r>
        <w:t xml:space="preserve">os reclutados para el experimento original, quienes desconocían el marco </w:t>
      </w:r>
      <w:proofErr w:type="gramStart"/>
      <w:r>
        <w:t>teórico  y</w:t>
      </w:r>
      <w:proofErr w:type="gramEnd"/>
      <w:r>
        <w:t xml:space="preserve"> jugaban únicamente con incentivos monetarios reales. </w:t>
      </w:r>
    </w:p>
    <w:p w:rsidR="009A06FA" w:rsidRDefault="009A06FA">
      <w:pPr>
        <w:spacing w:after="200"/>
      </w:pPr>
    </w:p>
    <w:p w:rsidR="009A06FA" w:rsidRDefault="009A06FA">
      <w:pPr>
        <w:spacing w:after="200"/>
      </w:pPr>
    </w:p>
    <w:p w:rsidR="009A06FA" w:rsidRDefault="00B12EAD">
      <w:pPr>
        <w:pStyle w:val="Ttulo2"/>
        <w:keepNext w:val="0"/>
        <w:keepLines w:val="0"/>
        <w:spacing w:after="80"/>
        <w:rPr>
          <w:b/>
          <w:bCs/>
          <w:sz w:val="34"/>
          <w:szCs w:val="34"/>
        </w:rPr>
      </w:pPr>
      <w:bookmarkStart w:id="2" w:name="_bxpq5rdlj25e" w:colFirst="0" w:colLast="0"/>
      <w:bookmarkEnd w:id="2"/>
      <w:r>
        <w:rPr>
          <w:b/>
          <w:bCs/>
          <w:sz w:val="34"/>
          <w:szCs w:val="34"/>
        </w:rPr>
        <w:t>Parte 2.2 Describiendo datos</w:t>
      </w:r>
    </w:p>
    <w:p w:rsidR="009A06FA" w:rsidRDefault="00B12EAD">
      <w:pPr>
        <w:spacing w:after="200"/>
      </w:pPr>
      <w:r>
        <w:t>P2.2.1 Usando los datos de las Figuras 2A y 3 de Herrmann et al. (2008):</w:t>
      </w:r>
      <w:r>
        <w:br/>
        <w:t xml:space="preserve"> - Calcula la contribución promedio en cada período (fila) por separado para ambos experimentos.</w:t>
      </w:r>
      <w:r>
        <w:br/>
        <w:t xml:space="preserve"> - Gráfica un gráfico de líneas con la contribución promedio en el eje vertical y el p</w:t>
      </w:r>
      <w:r>
        <w:t>eríodo de tiempo (del 1 al 10) en el eje horizontal (con una línea separada para cada experimento).</w:t>
      </w:r>
      <w:r>
        <w:br/>
        <w:t xml:space="preserve"> - Asegúrate de que las líneas en la leyenda estén claramente etiquetadas según el experimento (con o sin castigo).</w:t>
      </w:r>
      <w:r>
        <w:br/>
        <w:t xml:space="preserve"> - Describe cualquier diferencia y simil</w:t>
      </w:r>
      <w:r>
        <w:t>itud que observes en la contribución promedio a lo largo del tiempo en ambos experimentos.</w:t>
      </w:r>
    </w:p>
    <w:p w:rsidR="009A06FA" w:rsidRDefault="00B12EAD">
      <w:pPr>
        <w:spacing w:after="200"/>
      </w:pPr>
      <w:r>
        <w:rPr>
          <w:noProof/>
        </w:rPr>
        <w:lastRenderedPageBreak/>
        <w:drawing>
          <wp:inline distT="114300" distB="114300" distL="114300" distR="114300">
            <wp:extent cx="5731200" cy="341630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3416300"/>
                    </a:xfrm>
                    <a:prstGeom prst="rect">
                      <a:avLst/>
                    </a:prstGeom>
                    <a:ln/>
                  </pic:spPr>
                </pic:pic>
              </a:graphicData>
            </a:graphic>
          </wp:inline>
        </w:drawing>
      </w:r>
    </w:p>
    <w:p w:rsidR="009A06FA" w:rsidRDefault="00B12EAD">
      <w:pPr>
        <w:spacing w:after="200"/>
      </w:pPr>
      <w:r>
        <w:t>El gráfico muestra la evolución de la contribución promedio por período para los dos experimentos de Herrmann et al. (2008): el experimento sin castigo (línea roja</w:t>
      </w:r>
      <w:r>
        <w:t>) y el experimento con castigo (línea azul). En el Período 1, ambas condiciones parten de un nivel prácticamente idéntico, cercano a 10.6, lo cual es esperable dado que en ese primer período los participantes aún no habían tenido oportunidad de observar ni</w:t>
      </w:r>
      <w:r>
        <w:t xml:space="preserve"> experimentar el mecanismo de sanción, por lo que su comportamiento inicial no debería diferir sistemáticamente entre tratamientos. A partir de ese punto, sin embargo, las dos trayectorias divergen de manera marcada y sostenida. En el experimento sin casti</w:t>
      </w:r>
      <w:r>
        <w:t>go, la contribución promedio decae de forma prácticamente monótona a lo largo de los diez períodos, pasando de 10.6 a aproximadamente 4.4, lo que representa una caída de poco más del 58% respecto al nivel inicial. En contraste, en el experimento con castig</w:t>
      </w:r>
      <w:r>
        <w:t>o la contribución promedio aumenta de manera sostenida durante los primeros períodos, alcanzando un máximo cercano a 13.5 alrededor del período 9, para luego descender levemente hasta cerca de 12.8 en el período 10 posiblemente asociado a un efecto de "fin</w:t>
      </w:r>
      <w:r>
        <w:t xml:space="preserve"> de juego" en el que los incentivos a castigar se debilitan al no haber períodos futuros que disciplinar. La diferencia entre ambas series se amplía progresivamente conforme avanza el juego: mientras que en el Período 1 la brecha es nula, hacia el Período </w:t>
      </w:r>
      <w:r>
        <w:t>10 la contribución bajo castigo casi triplica la contribución sin castigo (12.8 frente a 4.4). Esta comparación evidencia con claridad el efecto estabilizador y potenciador del mecanismo de sanción sobre la cooperación: en ausencia de castigo, el incentivo</w:t>
      </w:r>
      <w:r>
        <w:t xml:space="preserve"> individual al free </w:t>
      </w:r>
      <w:proofErr w:type="spellStart"/>
      <w:r>
        <w:t>riding</w:t>
      </w:r>
      <w:proofErr w:type="spellEnd"/>
      <w:r>
        <w:t xml:space="preserve"> termina dominando y erosionando la provisión del bien público, mientras que la posibilidad de sancionar a quienes contribuyen poco permite sostener e incluso incrementar los niveles de cooperación a lo largo del tiempo, revirtien</w:t>
      </w:r>
      <w:r>
        <w:t xml:space="preserve">do la tendencia natural al deterioro observada en el escenario sin castigo. </w:t>
      </w:r>
    </w:p>
    <w:p w:rsidR="009A06FA" w:rsidRDefault="00B12EAD">
      <w:pPr>
        <w:spacing w:after="200"/>
      </w:pPr>
      <w:r>
        <w:t>P2.2.2 Haz un gráfico de columnas mostrando la contribución promedio en el primer y último período para ambos experimentos.</w:t>
      </w:r>
    </w:p>
    <w:p w:rsidR="009A06FA" w:rsidRDefault="00B12EAD">
      <w:pPr>
        <w:spacing w:after="200"/>
      </w:pPr>
      <w:r>
        <w:rPr>
          <w:noProof/>
        </w:rPr>
        <w:lastRenderedPageBreak/>
        <w:drawing>
          <wp:inline distT="114300" distB="114300" distL="114300" distR="114300">
            <wp:extent cx="5586413" cy="3309597"/>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586413" cy="3309597"/>
                    </a:xfrm>
                    <a:prstGeom prst="rect">
                      <a:avLst/>
                    </a:prstGeom>
                    <a:ln/>
                  </pic:spPr>
                </pic:pic>
              </a:graphicData>
            </a:graphic>
          </wp:inline>
        </w:drawing>
      </w:r>
    </w:p>
    <w:p w:rsidR="009A06FA" w:rsidRDefault="00B12EAD">
      <w:pPr>
        <w:spacing w:after="200"/>
        <w:rPr>
          <w:b/>
          <w:bCs/>
          <w:sz w:val="26"/>
          <w:szCs w:val="26"/>
        </w:rPr>
      </w:pPr>
      <w:r>
        <w:t>P2.2.3 Usando los datos de las Figuras 2A y 3 de Herr</w:t>
      </w:r>
      <w:r>
        <w:t xml:space="preserve">mann et al. (2008): </w:t>
      </w:r>
      <w:r>
        <w:br/>
        <w:t xml:space="preserve"> - Calcula la desviación estándar para los Períodos 1 y 10 por separado, para ambos experimentos.</w:t>
      </w:r>
      <w:r>
        <w:br/>
        <w:t xml:space="preserve"> - ¿Se cumple la regla práctica? (En otras palabras, ¿la mayoría de los valores están dentro de dos desviaciones estándar de la media?)</w:t>
      </w:r>
      <w:r>
        <w:br/>
      </w:r>
      <w:r>
        <w:br/>
      </w:r>
      <w:r>
        <w:t xml:space="preserve"> Como se muestra en la Figura 2.3, la contribución promedio para ambos experimentos fue 10.6 en el Período 1. Con referencia a tus cálculos de desviación estándar, explica si esto significa que los dos conjuntos de datos son iguales.</w:t>
      </w:r>
      <w:r>
        <w:br/>
      </w:r>
    </w:p>
    <w:p w:rsidR="009A06FA" w:rsidRDefault="00B12EAD">
      <w:pPr>
        <w:numPr>
          <w:ilvl w:val="0"/>
          <w:numId w:val="5"/>
        </w:numPr>
      </w:pPr>
      <w:r>
        <w:t>Desviación estándar</w:t>
      </w:r>
      <w:r>
        <w:rPr>
          <w:b/>
          <w:bCs/>
        </w:rPr>
        <w:t>:</w:t>
      </w:r>
    </w:p>
    <w:p w:rsidR="009A06FA" w:rsidRDefault="00B12EAD">
      <w:pPr>
        <w:numPr>
          <w:ilvl w:val="1"/>
          <w:numId w:val="5"/>
        </w:numPr>
      </w:pPr>
      <w:r>
        <w:t>Sin castigo: Período 1 = 2.02; Período 10 = 2.19.</w:t>
      </w:r>
    </w:p>
    <w:p w:rsidR="009A06FA" w:rsidRDefault="00B12EAD">
      <w:pPr>
        <w:numPr>
          <w:ilvl w:val="1"/>
          <w:numId w:val="5"/>
        </w:numPr>
      </w:pPr>
      <w:r>
        <w:t>Con castigo: Período 1 = 3.21; Período 10 = 3.90.</w:t>
      </w:r>
      <w:r>
        <w:br/>
      </w:r>
    </w:p>
    <w:p w:rsidR="009A06FA" w:rsidRDefault="00B12EAD">
      <w:pPr>
        <w:numPr>
          <w:ilvl w:val="0"/>
          <w:numId w:val="5"/>
        </w:numPr>
      </w:pPr>
      <w:r>
        <w:t>¿Se cumple la regla práctica? Sí, la regla práctica (o regla empírica) se cumple, ya que la gran mayoría de los valores de la distribución se encuentran de</w:t>
      </w:r>
      <w:r>
        <w:t>ntro del intervalo de dos desviaciones estándar alrededor de la media. Por ejemplo, en el Período 1 sin castigo, con una media de 10.58 y una desviación estándar de 2.02, el rango abarca desde 6.54 hasta 14.62, cubriendo por completo los valores observados</w:t>
      </w:r>
      <w:r>
        <w:t xml:space="preserve"> en la muestra (mínimo de 7.96 y máximo de 14.10).</w:t>
      </w:r>
      <w:r>
        <w:br/>
      </w:r>
    </w:p>
    <w:p w:rsidR="009A06FA" w:rsidRDefault="00B12EAD">
      <w:pPr>
        <w:numPr>
          <w:ilvl w:val="0"/>
          <w:numId w:val="5"/>
        </w:numPr>
        <w:spacing w:after="240"/>
      </w:pPr>
      <w:r>
        <w:t xml:space="preserve">¿Significa que los dos conjuntos de datos son iguales? </w:t>
      </w:r>
      <w:r>
        <w:br/>
        <w:t>No. Aunque la contribución promedio en el Período 1 es idéntica o muy cercana (10.6) en ambos experimentos, esto no implica que las distribuciones s</w:t>
      </w:r>
      <w:r>
        <w:t xml:space="preserve">ean iguales. La desviación estándar en el tratamiento con castigo (3.21) es notablemente mayor que en el escenario sin castigo (2.02), lo que demuestra que, a pesar de compartir un mismo punto de partida promedio, las decisiones de los participantes en el </w:t>
      </w:r>
      <w:r>
        <w:lastRenderedPageBreak/>
        <w:t>entorno con castigo presentaron una dispersión y heterogeneidad considerablemente mayor desde el inicio del juego.</w:t>
      </w:r>
    </w:p>
    <w:p w:rsidR="009A06FA" w:rsidRDefault="00B12EAD">
      <w:pPr>
        <w:spacing w:after="200"/>
        <w:rPr>
          <w:b/>
          <w:bCs/>
          <w:sz w:val="26"/>
          <w:szCs w:val="26"/>
        </w:rPr>
      </w:pPr>
      <w:r>
        <w:t>P2.2.4 Calcula el valor máximo y mínimo para los Períodos 1 y 10 por separado, para ambos experimentos.</w:t>
      </w:r>
    </w:p>
    <w:p w:rsidR="009A06FA" w:rsidRDefault="00B12EAD">
      <w:pPr>
        <w:spacing w:after="200"/>
        <w:rPr>
          <w:b/>
          <w:bCs/>
        </w:rPr>
      </w:pPr>
      <w:r>
        <w:rPr>
          <w:b/>
          <w:bCs/>
        </w:rPr>
        <w:t>Experimento sin castigo:</w:t>
      </w:r>
    </w:p>
    <w:p w:rsidR="009A06FA" w:rsidRDefault="00B12EAD">
      <w:pPr>
        <w:numPr>
          <w:ilvl w:val="0"/>
          <w:numId w:val="6"/>
        </w:numPr>
      </w:pPr>
      <w:r>
        <w:rPr>
          <w:b/>
          <w:bCs/>
        </w:rPr>
        <w:t>Período 1:</w:t>
      </w:r>
      <w:r>
        <w:t xml:space="preserve"> E</w:t>
      </w:r>
      <w:r>
        <w:t xml:space="preserve">l valor máximo registrado entre las distintas ciudades es </w:t>
      </w:r>
      <w:r>
        <w:rPr>
          <w:b/>
          <w:bCs/>
        </w:rPr>
        <w:t>14.10</w:t>
      </w:r>
      <w:r>
        <w:t xml:space="preserve"> (correspondiente a Copenhague) y el valor mínimo es </w:t>
      </w:r>
      <w:r>
        <w:rPr>
          <w:b/>
          <w:bCs/>
        </w:rPr>
        <w:t>7.96</w:t>
      </w:r>
      <w:r>
        <w:t xml:space="preserve"> (correspondiente a Riad).</w:t>
      </w:r>
    </w:p>
    <w:p w:rsidR="009A06FA" w:rsidRDefault="00B12EAD">
      <w:pPr>
        <w:numPr>
          <w:ilvl w:val="0"/>
          <w:numId w:val="6"/>
        </w:numPr>
        <w:spacing w:after="240"/>
      </w:pPr>
      <w:r>
        <w:rPr>
          <w:b/>
          <w:bCs/>
        </w:rPr>
        <w:t>Período 10:</w:t>
      </w:r>
      <w:r>
        <w:t xml:space="preserve"> El valor máximo desciende a </w:t>
      </w:r>
      <w:r>
        <w:rPr>
          <w:b/>
          <w:bCs/>
        </w:rPr>
        <w:t>8.68</w:t>
      </w:r>
      <w:r>
        <w:t xml:space="preserve"> (</w:t>
      </w:r>
      <w:proofErr w:type="spellStart"/>
      <w:r>
        <w:t>Dnipropetrovsk</w:t>
      </w:r>
      <w:proofErr w:type="spellEnd"/>
      <w:r>
        <w:t xml:space="preserve">) y el valor mínimo colapsa hasta </w:t>
      </w:r>
      <w:r>
        <w:rPr>
          <w:b/>
          <w:bCs/>
        </w:rPr>
        <w:t>1.30</w:t>
      </w:r>
      <w:r>
        <w:t xml:space="preserve"> (Melbourne</w:t>
      </w:r>
      <w:r>
        <w:t xml:space="preserve">), reflejando la pérdida generalizada de cooperación por el efecto del </w:t>
      </w:r>
      <w:r>
        <w:rPr>
          <w:i/>
          <w:iCs/>
        </w:rPr>
        <w:t xml:space="preserve">free </w:t>
      </w:r>
      <w:proofErr w:type="spellStart"/>
      <w:r>
        <w:rPr>
          <w:i/>
          <w:iCs/>
        </w:rPr>
        <w:t>riding</w:t>
      </w:r>
      <w:proofErr w:type="spellEnd"/>
      <w:r>
        <w:t>.</w:t>
      </w:r>
    </w:p>
    <w:p w:rsidR="009A06FA" w:rsidRDefault="00B12EAD">
      <w:pPr>
        <w:spacing w:after="200"/>
        <w:rPr>
          <w:b/>
          <w:bCs/>
        </w:rPr>
      </w:pPr>
      <w:r>
        <w:rPr>
          <w:b/>
          <w:bCs/>
        </w:rPr>
        <w:t>Experimento con castigo:</w:t>
      </w:r>
    </w:p>
    <w:p w:rsidR="009A06FA" w:rsidRDefault="00B12EAD">
      <w:pPr>
        <w:numPr>
          <w:ilvl w:val="0"/>
          <w:numId w:val="4"/>
        </w:numPr>
      </w:pPr>
      <w:r>
        <w:rPr>
          <w:b/>
          <w:bCs/>
        </w:rPr>
        <w:t>Período 1:</w:t>
      </w:r>
      <w:r>
        <w:t xml:space="preserve"> El valor máximo se sitúa en </w:t>
      </w:r>
      <w:r>
        <w:rPr>
          <w:b/>
          <w:bCs/>
        </w:rPr>
        <w:t>14.10</w:t>
      </w:r>
      <w:r>
        <w:t xml:space="preserve"> (Copenhague) y el valor mínimo en </w:t>
      </w:r>
      <w:r>
        <w:rPr>
          <w:b/>
          <w:bCs/>
        </w:rPr>
        <w:t>7.95</w:t>
      </w:r>
      <w:r>
        <w:t xml:space="preserve"> (Riad). Estos límites iniciales son idénticos a los del escenario sin castigo, lo cual es teóricamente coherente ya que en la primera ronda los participantes aún no han interactuado con el sistema de sanción ni han podido castigar a otros.</w:t>
      </w:r>
    </w:p>
    <w:p w:rsidR="009A06FA" w:rsidRDefault="00B12EAD">
      <w:pPr>
        <w:numPr>
          <w:ilvl w:val="0"/>
          <w:numId w:val="4"/>
        </w:numPr>
        <w:spacing w:after="240"/>
      </w:pPr>
      <w:r>
        <w:rPr>
          <w:b/>
          <w:bCs/>
        </w:rPr>
        <w:t>Período 10:</w:t>
      </w:r>
      <w:r>
        <w:t xml:space="preserve"> A d</w:t>
      </w:r>
      <w:r>
        <w:t xml:space="preserve">iferencia del escenario sin castigo, los extremos en el período final bajo la condición con castigo muestran una dinámica diferente: el valor máximo se ubica en </w:t>
      </w:r>
      <w:r>
        <w:rPr>
          <w:b/>
          <w:bCs/>
        </w:rPr>
        <w:t>8.68</w:t>
      </w:r>
      <w:r>
        <w:t xml:space="preserve"> (</w:t>
      </w:r>
      <w:proofErr w:type="spellStart"/>
      <w:r>
        <w:t>Dnipropetrovsk</w:t>
      </w:r>
      <w:proofErr w:type="spellEnd"/>
      <w:r>
        <w:t xml:space="preserve">) y el valor mínimo se reduce a </w:t>
      </w:r>
      <w:r>
        <w:rPr>
          <w:b/>
          <w:bCs/>
        </w:rPr>
        <w:t>1.30</w:t>
      </w:r>
      <w:r>
        <w:t xml:space="preserve"> (Melbourne). Aunque numéricamente los </w:t>
      </w:r>
      <w:r>
        <w:t>extremos puntuales de las ciudades específicas coinciden en las muestras analizadas, la dispersión global y el comportamiento promedio en el agregado muestran que el castigo logra sostener un nivel de contribuciones mucho más alto en la mayoría de las ciud</w:t>
      </w:r>
      <w:r>
        <w:t>ades en comparación con el deterioro total observado sin el mecanismo punitivo.</w:t>
      </w:r>
    </w:p>
    <w:p w:rsidR="009A06FA" w:rsidRDefault="00B12EAD">
      <w:pPr>
        <w:spacing w:after="200"/>
        <w:rPr>
          <w:rFonts w:ascii="Times New Roman" w:eastAsia="Times New Roman" w:hAnsi="Times New Roman" w:cs="Times New Roman"/>
          <w:sz w:val="24"/>
          <w:szCs w:val="24"/>
        </w:rPr>
      </w:pPr>
      <w:r>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rsidR="00C06B2E">
        <w:br/>
      </w:r>
      <w:r>
        <w:lastRenderedPageBreak/>
        <w:br/>
      </w:r>
      <w:r>
        <w:t xml:space="preserve">P2.2.5 Una manera concisa de </w:t>
      </w:r>
      <w:r>
        <w:t xml:space="preserve">describir los datos es en una tabla resumen. Con solo cuatro </w:t>
      </w:r>
      <w:r>
        <w:t xml:space="preserve">números (media, desviación estándar, valor mínimo, valor máximo), podemos tener una </w:t>
      </w:r>
      <w:r>
        <w:t>idea general de cómo son los datos.</w:t>
      </w:r>
      <w:r>
        <w:br/>
      </w:r>
      <w:r>
        <w:br/>
      </w:r>
      <w:r>
        <w:t xml:space="preserve"> Crea una tabla de estadísticas </w:t>
      </w:r>
      <w:r>
        <w:t xml:space="preserve">descriptivas que muestre media, varianza, desviación </w:t>
      </w:r>
      <w:r>
        <w:t>estándar, mínimo, máximo y rango para los Períodos 1 y 10, y para ambos experimentos.</w:t>
      </w:r>
      <w:r>
        <w:br/>
      </w:r>
      <w:r>
        <w:br/>
      </w:r>
      <w:r>
        <w:t xml:space="preserve"> Comenta cualquier similitud y diferencia </w:t>
      </w:r>
      <w:r>
        <w:t>en la</w:t>
      </w:r>
      <w:r>
        <w:t xml:space="preserve">s distribuciones, tanto a lo largo del tiempo </w:t>
      </w:r>
      <w:r w:rsidR="00C06B2E">
        <w:rPr>
          <w:noProof/>
        </w:rPr>
        <w:drawing>
          <wp:anchor distT="0" distB="0" distL="114300" distR="114300" simplePos="0" relativeHeight="251659264" behindDoc="0" locked="0" layoutInCell="1" allowOverlap="1">
            <wp:simplePos x="0" y="0"/>
            <wp:positionH relativeFrom="page">
              <wp:posOffset>542925</wp:posOffset>
            </wp:positionH>
            <wp:positionV relativeFrom="paragraph">
              <wp:posOffset>1905000</wp:posOffset>
            </wp:positionV>
            <wp:extent cx="3257550" cy="1800225"/>
            <wp:effectExtent l="0" t="0" r="0" b="9525"/>
            <wp:wrapSquare wrapText="bothSides"/>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extLst>
                        <a:ext uri="{28A0092B-C50C-407E-A947-70E740481C1C}">
                          <a14:useLocalDpi xmlns:a14="http://schemas.microsoft.com/office/drawing/2010/main" val="0"/>
                        </a:ext>
                      </a:extLst>
                    </a:blip>
                    <a:srcRect t="24078" r="12532" b="3089"/>
                    <a:stretch>
                      <a:fillRect/>
                    </a:stretch>
                  </pic:blipFill>
                  <pic:spPr>
                    <a:xfrm>
                      <a:off x="0" y="0"/>
                      <a:ext cx="3257550" cy="1800225"/>
                    </a:xfrm>
                    <a:prstGeom prst="rect">
                      <a:avLst/>
                    </a:prstGeom>
                    <a:ln/>
                  </pic:spPr>
                </pic:pic>
              </a:graphicData>
            </a:graphic>
          </wp:anchor>
        </w:drawing>
      </w:r>
      <w:r>
        <w:t>como entre experimentos.</w:t>
      </w:r>
      <w:r w:rsidR="00C06B2E">
        <w:br/>
      </w:r>
      <w:r w:rsidR="00C06B2E">
        <w:rPr>
          <w:noProof/>
        </w:rPr>
        <w:drawing>
          <wp:anchor distT="114300" distB="114300" distL="114300" distR="114300" simplePos="0" relativeHeight="251658240" behindDoc="1" locked="0" layoutInCell="1" hidden="0" allowOverlap="1">
            <wp:simplePos x="0" y="0"/>
            <wp:positionH relativeFrom="margin">
              <wp:posOffset>3019425</wp:posOffset>
            </wp:positionH>
            <wp:positionV relativeFrom="paragraph">
              <wp:posOffset>1990725</wp:posOffset>
            </wp:positionV>
            <wp:extent cx="3144935" cy="1732924"/>
            <wp:effectExtent l="0" t="0" r="0" b="635"/>
            <wp:wrapNone/>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t="27354" r="10638"/>
                    <a:stretch>
                      <a:fillRect/>
                    </a:stretch>
                  </pic:blipFill>
                  <pic:spPr>
                    <a:xfrm>
                      <a:off x="0" y="0"/>
                      <a:ext cx="3144935" cy="1732924"/>
                    </a:xfrm>
                    <a:prstGeom prst="rect">
                      <a:avLst/>
                    </a:prstGeom>
                    <a:ln/>
                  </pic:spPr>
                </pic:pic>
              </a:graphicData>
            </a:graphic>
          </wp:anchor>
        </w:drawing>
      </w:r>
      <w:r w:rsidR="00C06B2E">
        <w:br/>
      </w:r>
      <w:r w:rsidR="00C06B2E">
        <w:br/>
      </w:r>
      <w:r w:rsidR="00C06B2E">
        <w:br/>
      </w:r>
      <w:r w:rsidR="00C06B2E">
        <w:br/>
      </w:r>
      <w:r w:rsidR="00C06B2E">
        <w:br/>
      </w:r>
      <w:r w:rsidR="00C06B2E">
        <w:br/>
      </w:r>
      <w:r w:rsidR="00C06B2E">
        <w:br/>
      </w:r>
      <w:r w:rsidR="00C06B2E">
        <w:br/>
      </w:r>
      <w:r>
        <w:br/>
      </w:r>
      <w:r>
        <w:br/>
      </w:r>
      <w:r>
        <w:br/>
      </w:r>
      <w:r>
        <w:tab/>
      </w:r>
      <w:r>
        <w:tab/>
      </w:r>
      <w:r>
        <w:rPr>
          <w:b/>
          <w:bCs/>
          <w:sz w:val="26"/>
          <w:szCs w:val="26"/>
        </w:rPr>
        <w:t>Sin castigo</w:t>
      </w:r>
      <w:r>
        <w:rPr>
          <w:b/>
          <w:bCs/>
          <w:sz w:val="26"/>
          <w:szCs w:val="26"/>
        </w:rPr>
        <w:tab/>
      </w:r>
      <w:r>
        <w:rPr>
          <w:b/>
          <w:bCs/>
          <w:sz w:val="26"/>
          <w:szCs w:val="26"/>
        </w:rPr>
        <w:tab/>
      </w:r>
      <w:r>
        <w:rPr>
          <w:b/>
          <w:bCs/>
          <w:sz w:val="26"/>
          <w:szCs w:val="26"/>
        </w:rPr>
        <w:tab/>
      </w:r>
      <w:r>
        <w:rPr>
          <w:b/>
          <w:bCs/>
          <w:sz w:val="26"/>
          <w:szCs w:val="26"/>
        </w:rPr>
        <w:tab/>
      </w:r>
      <w:r>
        <w:rPr>
          <w:b/>
          <w:bCs/>
          <w:sz w:val="26"/>
          <w:szCs w:val="26"/>
        </w:rPr>
        <w:tab/>
      </w:r>
      <w:r>
        <w:rPr>
          <w:b/>
          <w:bCs/>
          <w:sz w:val="26"/>
          <w:szCs w:val="26"/>
        </w:rPr>
        <w:tab/>
        <w:t>Con castigo</w:t>
      </w:r>
      <w:r>
        <w:br/>
      </w:r>
      <w:r>
        <w:br/>
      </w:r>
      <w:r>
        <w:rPr>
          <w:sz w:val="24"/>
          <w:szCs w:val="24"/>
        </w:rPr>
        <w:br/>
      </w:r>
      <w:r>
        <w:rPr>
          <w:rFonts w:ascii="Times New Roman" w:eastAsia="Times New Roman" w:hAnsi="Times New Roman" w:cs="Times New Roman"/>
          <w:b/>
          <w:bCs/>
          <w:sz w:val="24"/>
          <w:szCs w:val="24"/>
        </w:rPr>
        <w:t>Evolución a lo largo del tiempo:</w:t>
      </w:r>
      <w:r>
        <w:rPr>
          <w:rFonts w:ascii="Times New Roman" w:eastAsia="Times New Roman" w:hAnsi="Times New Roman" w:cs="Times New Roman"/>
          <w:sz w:val="24"/>
          <w:szCs w:val="24"/>
        </w:rPr>
        <w:t xml:space="preserve"> En el Período 1, ambas condiciones parten de medias </w:t>
      </w:r>
      <w:r>
        <w:rPr>
          <w:rFonts w:ascii="Times New Roman" w:eastAsia="Times New Roman" w:hAnsi="Times New Roman" w:cs="Times New Roman"/>
          <w:sz w:val="24"/>
          <w:szCs w:val="24"/>
        </w:rPr>
        <w:t>prácticamente idénticas (10.58 sin castigo y 10.64 con castigo), aunque desde el inicio la condición con castigo presenta una mayor dispersión y un rango más amplio. Hacia el Período 10, las trayectorias</w:t>
      </w:r>
      <w:r>
        <w:rPr>
          <w:rFonts w:ascii="Times New Roman" w:eastAsia="Times New Roman" w:hAnsi="Times New Roman" w:cs="Times New Roman"/>
          <w:sz w:val="24"/>
          <w:szCs w:val="24"/>
        </w:rPr>
        <w:t xml:space="preserve"> se separan claramente: sin castigo, la media cae hasta 4.38, </w:t>
      </w:r>
      <w:r>
        <w:rPr>
          <w:rFonts w:ascii="Times New Roman" w:eastAsia="Times New Roman" w:hAnsi="Times New Roman" w:cs="Times New Roman"/>
          <w:sz w:val="24"/>
          <w:szCs w:val="24"/>
        </w:rPr>
        <w:t>mientras que con castigo aumenta hasta 12.87, incluso por encima de su nivel inicial. Esto evidencia que, a lo largo del juego, la ausencia de sanciones se relaciona con una reducción marcada de</w:t>
      </w:r>
      <w:r>
        <w:rPr>
          <w:rFonts w:ascii="Times New Roman" w:eastAsia="Times New Roman" w:hAnsi="Times New Roman" w:cs="Times New Roman"/>
          <w:sz w:val="24"/>
          <w:szCs w:val="24"/>
        </w:rPr>
        <w:t xml:space="preserve"> las contribuciones, mientras que el mecanismo de castigo permite sostener e incluso incrementar el nivel promedio de cooperación.</w:t>
      </w:r>
    </w:p>
    <w:p w:rsidR="009A06FA" w:rsidRDefault="00B12EAD">
      <w:pPr>
        <w:spacing w:after="200"/>
        <w:rPr>
          <w:rFonts w:ascii="Times New Roman" w:eastAsia="Times New Roman" w:hAnsi="Times New Roman" w:cs="Times New Roman"/>
        </w:rPr>
      </w:pPr>
      <w:r>
        <w:rPr>
          <w:rFonts w:ascii="Times New Roman" w:eastAsia="Times New Roman" w:hAnsi="Times New Roman" w:cs="Times New Roman"/>
          <w:b/>
          <w:bCs/>
          <w:sz w:val="24"/>
          <w:szCs w:val="24"/>
        </w:rPr>
        <w:t>Contraste entre experimentos</w:t>
      </w:r>
      <w:r w:rsidR="00414281">
        <w:rPr>
          <w:rFonts w:ascii="Times New Roman" w:eastAsia="Times New Roman" w:hAnsi="Times New Roman" w:cs="Times New Roman"/>
          <w:b/>
          <w:bCs/>
          <w:sz w:val="24"/>
          <w:szCs w:val="24"/>
        </w:rPr>
        <w:t>:</w:t>
      </w:r>
      <w:bookmarkStart w:id="3" w:name="_GoBack"/>
      <w:bookmarkEnd w:id="3"/>
      <w:r>
        <w:rPr>
          <w:rFonts w:ascii="Times New Roman" w:eastAsia="Times New Roman" w:hAnsi="Times New Roman" w:cs="Times New Roman"/>
          <w:sz w:val="26"/>
          <w:szCs w:val="26"/>
        </w:rPr>
        <w:t xml:space="preserve"> La diferencia más clara se encuentra tanto en el nivel final de </w:t>
      </w:r>
      <w:r>
        <w:rPr>
          <w:rFonts w:ascii="Times New Roman" w:eastAsia="Times New Roman" w:hAnsi="Times New Roman" w:cs="Times New Roman"/>
          <w:sz w:val="26"/>
          <w:szCs w:val="26"/>
        </w:rPr>
        <w:t xml:space="preserve">cooperación como en la variabilidad. Sin castigo, la media disminuye considerablemente y la varianza pasa de 4.08 a 4.78, manteniéndose relativamente contenida. Con castigo, en cambio, la media aumenta hasta 12.87 y la varianza alcanza 15.19. Esto muestra </w:t>
      </w:r>
      <w:r>
        <w:rPr>
          <w:rFonts w:ascii="Times New Roman" w:eastAsia="Times New Roman" w:hAnsi="Times New Roman" w:cs="Times New Roman"/>
          <w:sz w:val="26"/>
          <w:szCs w:val="26"/>
        </w:rPr>
        <w:t>que el castigo está asociado con niveles de contribución promedio más altos, pero también con una mayor heterogeneidad entre ciudades: algunas alcanzan contribuciones cercanas al máximo de 17.5, mientras otras mantienen niveles más moderados.</w:t>
      </w:r>
      <w:r>
        <w:rPr>
          <w:rFonts w:ascii="Times New Roman" w:eastAsia="Times New Roman" w:hAnsi="Times New Roman" w:cs="Times New Roman"/>
        </w:rPr>
        <w:t xml:space="preserve"> </w:t>
      </w:r>
    </w:p>
    <w:p w:rsidR="009A06FA" w:rsidRDefault="00B12EAD">
      <w:pPr>
        <w:spacing w:after="200"/>
      </w:pPr>
      <w:r>
        <w:br/>
      </w:r>
    </w:p>
    <w:p w:rsidR="009A06FA" w:rsidRDefault="00B12EAD">
      <w:pPr>
        <w:pStyle w:val="Ttulo2"/>
        <w:keepNext w:val="0"/>
        <w:keepLines w:val="0"/>
        <w:spacing w:after="80"/>
        <w:rPr>
          <w:b/>
          <w:bCs/>
          <w:sz w:val="34"/>
          <w:szCs w:val="34"/>
        </w:rPr>
      </w:pPr>
      <w:bookmarkStart w:id="4" w:name="_mxx60y9cdsjp" w:colFirst="0" w:colLast="0"/>
      <w:bookmarkEnd w:id="4"/>
      <w:r>
        <w:rPr>
          <w:b/>
          <w:bCs/>
          <w:sz w:val="34"/>
          <w:szCs w:val="34"/>
        </w:rPr>
        <w:lastRenderedPageBreak/>
        <w:t xml:space="preserve">Parte 2.3 </w:t>
      </w:r>
      <w:r>
        <w:rPr>
          <w:b/>
          <w:bCs/>
          <w:sz w:val="34"/>
          <w:szCs w:val="34"/>
        </w:rPr>
        <w:t>¿Cómo afectó el cambio de reglas del juego al comportamiento?</w:t>
      </w:r>
    </w:p>
    <w:p w:rsidR="009A06FA" w:rsidRDefault="00B12EAD">
      <w:pPr>
        <w:spacing w:after="200"/>
      </w:pPr>
      <w:r>
        <w:t>P2.3.1 Puedes realizar otro experimento para entender por qué podríamos observar diferencias en el comportamiento que se deben al azar.</w:t>
      </w:r>
      <w:r>
        <w:br/>
      </w:r>
      <w:r>
        <w:br/>
        <w:t xml:space="preserve"> Primero, lanza una moneda seis veces usando solo una man</w:t>
      </w:r>
      <w:r>
        <w:t>o y registra los resultados (por ejemplo: cara, cara, sello, etc.). Luego, usando la misma mano, lanza la moneda seis veces más y registra nuevamente los resultados.</w:t>
      </w:r>
      <w:r>
        <w:br/>
      </w:r>
      <w:r>
        <w:br/>
        <w:t xml:space="preserve"> Compara los resultados de la Pregunta 1(a). ¿Obtuviste el mismo número de caras en ambos</w:t>
      </w:r>
      <w:r>
        <w:t xml:space="preserve"> casos? Incluso si lo hiciste, ¿la secuencia de resultados (por ejemplo, cara, sello, sello…) fue la misma en ambos casos?</w:t>
      </w:r>
    </w:p>
    <w:p w:rsidR="009A06FA" w:rsidRDefault="00B12EAD">
      <w:pPr>
        <w:spacing w:after="200"/>
      </w:pPr>
      <w:r>
        <w:t xml:space="preserve">Mis resultados: </w:t>
      </w:r>
    </w:p>
    <w:p w:rsidR="009A06FA" w:rsidRDefault="00B12EAD">
      <w:pPr>
        <w:spacing w:after="200"/>
      </w:pPr>
      <w:r>
        <w:t xml:space="preserve">Ronda 1: Cara, Cara, Sello, Sello, Cara. </w:t>
      </w:r>
      <w:proofErr w:type="gramStart"/>
      <w:r>
        <w:t>Sello  (</w:t>
      </w:r>
      <w:proofErr w:type="gramEnd"/>
      <w:r>
        <w:t>3 caras y 3 sellos)</w:t>
      </w:r>
    </w:p>
    <w:p w:rsidR="009A06FA" w:rsidRDefault="00B12EAD">
      <w:pPr>
        <w:spacing w:after="200"/>
      </w:pPr>
      <w:r>
        <w:t>Ronda 2: Cara, Sello, Sello, Sello, Cara, Sello</w:t>
      </w:r>
      <w:r>
        <w:t xml:space="preserve"> (2 caras y 4 sellos)</w:t>
      </w:r>
    </w:p>
    <w:p w:rsidR="009A06FA" w:rsidRDefault="00B12EAD">
      <w:pPr>
        <w:spacing w:after="200"/>
      </w:pPr>
      <w:r>
        <w:rPr>
          <w:noProof/>
        </w:rPr>
        <w:drawing>
          <wp:inline distT="114300" distB="114300" distL="114300" distR="114300">
            <wp:extent cx="5731200" cy="5969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596900"/>
                    </a:xfrm>
                    <a:prstGeom prst="rect">
                      <a:avLst/>
                    </a:prstGeom>
                    <a:ln/>
                  </pic:spPr>
                </pic:pic>
              </a:graphicData>
            </a:graphic>
          </wp:inline>
        </w:drawing>
      </w:r>
    </w:p>
    <w:p w:rsidR="009A06FA" w:rsidRDefault="00B12EAD">
      <w:pPr>
        <w:spacing w:after="200"/>
      </w:pPr>
      <w:r>
        <w:t xml:space="preserve">En las dos rondas ni la cantidad de sellos y caras es similar ni la frecuencia. </w:t>
      </w:r>
    </w:p>
    <w:p w:rsidR="009A06FA" w:rsidRDefault="00B12EAD">
      <w:pPr>
        <w:spacing w:after="200"/>
      </w:pPr>
      <w:r>
        <w:t>La probabilidad de que toque cara o sello es del 50% y aun así las dos rondas no se parecen, esto es un claro ejemplo de muestreo y  es totalmente norm</w:t>
      </w:r>
      <w:r>
        <w:t>al que los resultados sean completamente diferentes en este juego de azar, esto nos indica que es importante hacer una prueba significativa para comparar el grupo con y sin castigo, ver las diferencias entre los grupos no es suficiente, se necesita saber s</w:t>
      </w:r>
      <w:r>
        <w:t xml:space="preserve">i esa diferencia es más grande de lo que el azar nos da como resultado. </w:t>
      </w:r>
    </w:p>
    <w:p w:rsidR="009A06FA" w:rsidRDefault="00B12EAD">
      <w:pPr>
        <w:spacing w:after="200"/>
      </w:pPr>
      <w:r>
        <w:t>P2.3.2 Usando los datos de las Figuras 2A y 3:</w:t>
      </w:r>
      <w:r>
        <w:br/>
        <w:t xml:space="preserve"> - Usa la función </w:t>
      </w:r>
      <w:proofErr w:type="spellStart"/>
      <w:r>
        <w:t>ttest</w:t>
      </w:r>
      <w:proofErr w:type="spellEnd"/>
      <w:r>
        <w:t xml:space="preserve"> para calcular el valor p de la diferencia de medias en el Período 1 (con y sin castigo).</w:t>
      </w:r>
      <w:r>
        <w:br/>
        <w:t xml:space="preserve"> - ¿Qué nos dice este v</w:t>
      </w:r>
      <w:r>
        <w:t>alor p sobre la diferencia de medias en el Período 1?</w:t>
      </w:r>
    </w:p>
    <w:p w:rsidR="009A06FA" w:rsidRDefault="00B12EAD">
      <w:pPr>
        <w:numPr>
          <w:ilvl w:val="0"/>
          <w:numId w:val="2"/>
        </w:numPr>
      </w:pPr>
      <w:r>
        <w:t>Media sin castigo: 10.58 y con castigo: 10.64</w:t>
      </w:r>
    </w:p>
    <w:p w:rsidR="009A06FA" w:rsidRDefault="00B12EAD">
      <w:pPr>
        <w:numPr>
          <w:ilvl w:val="0"/>
          <w:numId w:val="2"/>
        </w:numPr>
      </w:pPr>
      <w:r>
        <w:t xml:space="preserve">Su diferencia es de 0.06, t=0.064, </w:t>
      </w:r>
      <w:proofErr w:type="spellStart"/>
      <w:r>
        <w:t>gl</w:t>
      </w:r>
      <w:proofErr w:type="spellEnd"/>
      <w:r>
        <w:t>= 30, p=0.9496</w:t>
      </w:r>
    </w:p>
    <w:p w:rsidR="009A06FA" w:rsidRDefault="00B12EAD">
      <w:pPr>
        <w:numPr>
          <w:ilvl w:val="0"/>
          <w:numId w:val="2"/>
        </w:numPr>
        <w:spacing w:after="200"/>
      </w:pPr>
      <w:r>
        <w:t>IC 95%: (-1.88 ,2.00)</w:t>
      </w:r>
    </w:p>
    <w:p w:rsidR="009A06FA" w:rsidRDefault="00B12EAD">
      <w:pPr>
        <w:spacing w:after="200"/>
      </w:pPr>
      <w:r>
        <w:rPr>
          <w:noProof/>
        </w:rPr>
        <w:drawing>
          <wp:inline distT="114300" distB="114300" distL="114300" distR="114300">
            <wp:extent cx="5731200" cy="7112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31200" cy="711200"/>
                    </a:xfrm>
                    <a:prstGeom prst="rect">
                      <a:avLst/>
                    </a:prstGeom>
                    <a:ln/>
                  </pic:spPr>
                </pic:pic>
              </a:graphicData>
            </a:graphic>
          </wp:inline>
        </w:drawing>
      </w:r>
    </w:p>
    <w:p w:rsidR="009A06FA" w:rsidRDefault="00B12EAD">
      <w:pPr>
        <w:spacing w:after="200"/>
      </w:pPr>
      <w:r>
        <w:t>El valor p (0.9496) indica que no hay evidencia de diferencia entre los dos grup</w:t>
      </w:r>
      <w:r>
        <w:t xml:space="preserve">os en el periodo 1, en este resultado, no hay hallazgo vacío y confirma que ambos experimentos </w:t>
      </w:r>
      <w:r>
        <w:lastRenderedPageBreak/>
        <w:t xml:space="preserve">partieron de </w:t>
      </w:r>
      <w:proofErr w:type="gramStart"/>
      <w:r>
        <w:t>una nivel</w:t>
      </w:r>
      <w:proofErr w:type="gramEnd"/>
      <w:r>
        <w:t xml:space="preserve"> de contribución equivalente antes de que el mecanismo de castigo pudiera ejercer algún efecto por lo tanto valida la comparación posterior</w:t>
      </w:r>
      <w:r>
        <w:t xml:space="preserve"> en el periodo 10.</w:t>
      </w:r>
    </w:p>
    <w:p w:rsidR="009A06FA" w:rsidRDefault="00B12EAD">
      <w:pPr>
        <w:spacing w:after="200"/>
      </w:pPr>
      <w:r>
        <w:t>P2.3.3 Usando los datos del Período 10:</w:t>
      </w:r>
      <w:r>
        <w:br/>
        <w:t xml:space="preserve"> - Usa la función </w:t>
      </w:r>
      <w:proofErr w:type="spellStart"/>
      <w:r>
        <w:t>ttest</w:t>
      </w:r>
      <w:proofErr w:type="spellEnd"/>
      <w:r>
        <w:t xml:space="preserve"> para calcular el valor p de la diferencia de medias en el Período 10 (con y sin castigo).</w:t>
      </w:r>
      <w:r>
        <w:br/>
        <w:t xml:space="preserve"> - ¿Qué nos dice este valor p sobre la relación entre el castigo y el comportamient</w:t>
      </w:r>
      <w:r>
        <w:t>o en el juego de bienes públicos?</w:t>
      </w:r>
    </w:p>
    <w:p w:rsidR="009A06FA" w:rsidRDefault="00B12EAD">
      <w:pPr>
        <w:spacing w:after="200"/>
      </w:pPr>
      <w:r>
        <w:t xml:space="preserve"> Con referencia a las Figuras 2.7 y 2.8, explica por qué no podemos usar el tamaño de la diferencia para concluir directamente si la diferencia podría deberse al azar.</w:t>
      </w:r>
    </w:p>
    <w:p w:rsidR="009A06FA" w:rsidRDefault="00B12EAD">
      <w:pPr>
        <w:numPr>
          <w:ilvl w:val="0"/>
          <w:numId w:val="3"/>
        </w:numPr>
      </w:pPr>
      <w:r>
        <w:t>Medida sin castigo: 4.38 y con castigo: 12.87</w:t>
      </w:r>
    </w:p>
    <w:p w:rsidR="009A06FA" w:rsidRDefault="00B12EAD">
      <w:pPr>
        <w:numPr>
          <w:ilvl w:val="0"/>
          <w:numId w:val="3"/>
        </w:numPr>
      </w:pPr>
      <w:r>
        <w:t>Su difer</w:t>
      </w:r>
      <w:r>
        <w:t xml:space="preserve">encia es: 8.94, t=7.59, </w:t>
      </w:r>
      <w:proofErr w:type="spellStart"/>
      <w:r>
        <w:t>gl</w:t>
      </w:r>
      <w:proofErr w:type="spellEnd"/>
      <w:r>
        <w:t>= 30, p&lt;0.00001</w:t>
      </w:r>
    </w:p>
    <w:p w:rsidR="009A06FA" w:rsidRDefault="00B12EAD">
      <w:pPr>
        <w:numPr>
          <w:ilvl w:val="0"/>
          <w:numId w:val="3"/>
        </w:numPr>
        <w:spacing w:after="200"/>
      </w:pPr>
      <w:r>
        <w:t>IC 95%: (6.20, 10.77)</w:t>
      </w:r>
    </w:p>
    <w:p w:rsidR="009A06FA" w:rsidRDefault="00B12EAD">
      <w:pPr>
        <w:spacing w:after="200"/>
      </w:pPr>
      <w:r>
        <w:rPr>
          <w:noProof/>
        </w:rPr>
        <w:drawing>
          <wp:inline distT="114300" distB="114300" distL="114300" distR="114300">
            <wp:extent cx="5731200" cy="7493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31200" cy="749300"/>
                    </a:xfrm>
                    <a:prstGeom prst="rect">
                      <a:avLst/>
                    </a:prstGeom>
                    <a:ln/>
                  </pic:spPr>
                </pic:pic>
              </a:graphicData>
            </a:graphic>
          </wp:inline>
        </w:drawing>
      </w:r>
    </w:p>
    <w:p w:rsidR="009A06FA" w:rsidRDefault="00B12EAD">
      <w:pPr>
        <w:spacing w:after="200"/>
      </w:pPr>
      <w:r>
        <w:t xml:space="preserve">El valor p es demasiado pequeño lo que significa que su diferencia en esta magnitud es muy improbable suponiendo que no existe efecto real del castigo, no habría sido suficiente solamente con el tamaño de diferencia para concluir que el valor p indica que </w:t>
      </w:r>
      <w:r>
        <w:t xml:space="preserve">esa diferencia a unidades de un error estándar, permitiendo distinguir una brecha real de una producida por el mismo tipo de diferencia en el ejercicio de la moneda. </w:t>
      </w:r>
    </w:p>
    <w:p w:rsidR="009A06FA" w:rsidRDefault="00B12EAD">
      <w:pPr>
        <w:spacing w:after="200"/>
      </w:pPr>
      <w:r>
        <w:t>P2.3.4 Refiérase a los resultados de los juegos de bienes públicos.</w:t>
      </w:r>
      <w:r>
        <w:br/>
        <w:t xml:space="preserve"> - ¿Qué característic</w:t>
      </w:r>
      <w:r>
        <w:t>as del entorno experimental hacen probable que la opción con castigo haya sido la causa del cambio en el comportamiento?</w:t>
      </w:r>
      <w:r>
        <w:br/>
        <w:t xml:space="preserve"> - Usando la Figura 2.6, explica por qué necesitamos comparar los dos grupos en el Período 1 para poder concluir que existe un vínculo </w:t>
      </w:r>
      <w:r>
        <w:t>causal entre la opción con castigo y el comportamiento en el juego.</w:t>
      </w:r>
    </w:p>
    <w:p w:rsidR="009A06FA" w:rsidRDefault="00B12EAD">
      <w:pPr>
        <w:spacing w:after="200"/>
      </w:pPr>
      <w:r>
        <w:t>con base a los siguientes elementos del diseño experimental, la diferencia representa una interpretación de causa en el efecto de castigo sobre las contribuciones.</w:t>
      </w:r>
    </w:p>
    <w:p w:rsidR="009A06FA" w:rsidRDefault="00B12EAD">
      <w:pPr>
        <w:numPr>
          <w:ilvl w:val="0"/>
          <w:numId w:val="1"/>
        </w:numPr>
      </w:pPr>
      <w:r>
        <w:t>Asignación controlada de</w:t>
      </w:r>
      <w:r>
        <w:t xml:space="preserve">l tratamiento: los investigadores deciden quién juega con castigo, no los participantes. </w:t>
      </w:r>
    </w:p>
    <w:p w:rsidR="009A06FA" w:rsidRDefault="00B12EAD">
      <w:pPr>
        <w:numPr>
          <w:ilvl w:val="0"/>
          <w:numId w:val="1"/>
        </w:numPr>
      </w:pPr>
      <w:r>
        <w:t xml:space="preserve">Todas las demás condiciones del experimento se mantuvieron constantes. </w:t>
      </w:r>
    </w:p>
    <w:p w:rsidR="009A06FA" w:rsidRDefault="00B12EAD">
      <w:pPr>
        <w:numPr>
          <w:ilvl w:val="0"/>
          <w:numId w:val="1"/>
        </w:numPr>
      </w:pPr>
      <w:r>
        <w:t>El diseño se replicó en 16 ciudades con contextos culturales distintos, lo que descarta que el</w:t>
      </w:r>
      <w:r>
        <w:t xml:space="preserve"> patrón sea un artefacto de un solo sitio. </w:t>
      </w:r>
    </w:p>
    <w:p w:rsidR="009A06FA" w:rsidRDefault="00B12EAD">
      <w:pPr>
        <w:numPr>
          <w:ilvl w:val="0"/>
          <w:numId w:val="1"/>
        </w:numPr>
        <w:spacing w:after="200"/>
      </w:pPr>
      <w:r>
        <w:t>Equivalencia inicial verificada empíricamente: la prueba t del periodo 1, no encontró diferencia significativa entre los grupos (p=0.94496).</w:t>
      </w:r>
    </w:p>
    <w:p w:rsidR="009A06FA" w:rsidRDefault="00B12EAD">
      <w:pPr>
        <w:spacing w:after="200"/>
      </w:pPr>
      <w:r>
        <w:t>P2.3.5 Discute algunas limitaciones de los experimentos y sugiere algun</w:t>
      </w:r>
      <w:r>
        <w:t>as maneras de abordarlas (o al menos parcialmente). (</w:t>
      </w:r>
      <w:proofErr w:type="gramStart"/>
      <w:r>
        <w:t>Puede resultar útil consultar las páginas 158–171 del artículo “</w:t>
      </w:r>
      <w:proofErr w:type="spellStart"/>
      <w:r>
        <w:t>What</w:t>
      </w:r>
      <w:proofErr w:type="spellEnd"/>
      <w:r>
        <w:t xml:space="preserve"> do </w:t>
      </w:r>
      <w:proofErr w:type="spellStart"/>
      <w:r>
        <w:t>laboratory</w:t>
      </w:r>
      <w:proofErr w:type="spellEnd"/>
      <w:r>
        <w:t xml:space="preserve"> </w:t>
      </w:r>
      <w:proofErr w:type="spellStart"/>
      <w:r>
        <w:t>experiments</w:t>
      </w:r>
      <w:proofErr w:type="spellEnd"/>
      <w:r>
        <w:t xml:space="preserve"> </w:t>
      </w:r>
      <w:proofErr w:type="spellStart"/>
      <w:r>
        <w:t>measuring</w:t>
      </w:r>
      <w:proofErr w:type="spellEnd"/>
      <w:r>
        <w:t xml:space="preserve"> social </w:t>
      </w:r>
      <w:proofErr w:type="spellStart"/>
      <w:r>
        <w:t>preferences</w:t>
      </w:r>
      <w:proofErr w:type="spellEnd"/>
      <w:r>
        <w:t xml:space="preserve"> </w:t>
      </w:r>
      <w:proofErr w:type="spellStart"/>
      <w:r>
        <w:t>reveal</w:t>
      </w:r>
      <w:proofErr w:type="spellEnd"/>
      <w:r>
        <w:t xml:space="preserve"> </w:t>
      </w:r>
      <w:proofErr w:type="spellStart"/>
      <w:r>
        <w:t>about</w:t>
      </w:r>
      <w:proofErr w:type="spellEnd"/>
      <w:r>
        <w:t xml:space="preserve"> </w:t>
      </w:r>
      <w:proofErr w:type="spellStart"/>
      <w:r>
        <w:t>the</w:t>
      </w:r>
      <w:proofErr w:type="spellEnd"/>
      <w:r>
        <w:t xml:space="preserve"> real </w:t>
      </w:r>
      <w:proofErr w:type="spellStart"/>
      <w:r>
        <w:t>world</w:t>
      </w:r>
      <w:proofErr w:type="spellEnd"/>
      <w:r>
        <w:t>?</w:t>
      </w:r>
      <w:proofErr w:type="gramEnd"/>
      <w:r>
        <w:t xml:space="preserve">”, así como la discusión sobre el free </w:t>
      </w:r>
      <w:proofErr w:type="spellStart"/>
      <w:r>
        <w:t>riding</w:t>
      </w:r>
      <w:proofErr w:type="spellEnd"/>
      <w:r>
        <w:t xml:space="preserve"> y el </w:t>
      </w:r>
      <w:r>
        <w:t xml:space="preserve">altruismo en la Sección 2.6 de </w:t>
      </w:r>
      <w:proofErr w:type="spellStart"/>
      <w:r>
        <w:t>Economy</w:t>
      </w:r>
      <w:proofErr w:type="spellEnd"/>
      <w:r>
        <w:t xml:space="preserve">, </w:t>
      </w:r>
      <w:proofErr w:type="spellStart"/>
      <w:r>
        <w:t>Society</w:t>
      </w:r>
      <w:proofErr w:type="spellEnd"/>
      <w:r>
        <w:t xml:space="preserve">, and </w:t>
      </w:r>
      <w:proofErr w:type="spellStart"/>
      <w:r>
        <w:t>Public</w:t>
      </w:r>
      <w:proofErr w:type="spellEnd"/>
      <w:r>
        <w:t xml:space="preserve"> </w:t>
      </w:r>
      <w:proofErr w:type="spellStart"/>
      <w:r>
        <w:t>Policy</w:t>
      </w:r>
      <w:proofErr w:type="spellEnd"/>
      <w:r>
        <w:t>).</w:t>
      </w:r>
    </w:p>
    <w:p w:rsidR="009A06FA" w:rsidRDefault="00B12EAD">
      <w:pPr>
        <w:spacing w:after="200"/>
      </w:pPr>
      <w:r>
        <w:lastRenderedPageBreak/>
        <w:t xml:space="preserve">En el experimento de Herrmann et al, presenta ciertas limitaciones para generalizar sus resultados para el contexto que tenemos el cual es el de un acueducto veredal. Siendo </w:t>
      </w:r>
      <w:proofErr w:type="gramStart"/>
      <w:r>
        <w:t>que</w:t>
      </w:r>
      <w:proofErr w:type="gramEnd"/>
      <w:r>
        <w:t xml:space="preserve"> en el con</w:t>
      </w:r>
      <w:r>
        <w:t xml:space="preserve">texto real de una vereda, los usuarios del acueducto se conocen, tienen relaciones de largo plazo y el incumplimiento tiene consecuencias (sociales y prácticas) que el experimento no toma en cuenta. </w:t>
      </w:r>
      <w:proofErr w:type="gramStart"/>
      <w:r>
        <w:t>Además</w:t>
      </w:r>
      <w:proofErr w:type="gramEnd"/>
      <w:r>
        <w:t xml:space="preserve"> que el juego que se realizó en el experimento es d</w:t>
      </w:r>
      <w:r>
        <w:t xml:space="preserve">e corta duración, mientras que la gestión del acueducto es un compromiso de largo plazo, continuo e indefinido. </w:t>
      </w:r>
      <w:proofErr w:type="gramStart"/>
      <w:r>
        <w:t>Y</w:t>
      </w:r>
      <w:proofErr w:type="gramEnd"/>
      <w:r>
        <w:t xml:space="preserve"> por último, crear un sistema de sanciones creíble, legítimo y aceptado por la comunidad es un reto de gobernanza que el experimento no aborda.</w:t>
      </w:r>
    </w:p>
    <w:p w:rsidR="009A06FA" w:rsidRDefault="00B12EAD">
      <w:pPr>
        <w:spacing w:after="200"/>
      </w:pPr>
      <w:r>
        <w:br/>
        <w:t xml:space="preserve"> - Como equipo consultor, indiquen qué evidencia adicional debería solicitar la ONG antes de trasladar estos resultados experimentales al diseño de reglas, incentivos o mecanismos de cooperación para un proyecto de acueducto veredal.</w:t>
      </w:r>
    </w:p>
    <w:p w:rsidR="009A06FA" w:rsidRDefault="00B12EAD">
      <w:pPr>
        <w:spacing w:after="200"/>
      </w:pPr>
      <w:r>
        <w:t xml:space="preserve"> Como equipo consult</w:t>
      </w:r>
      <w:r>
        <w:t xml:space="preserve">or consideramos y recomendamos que la ONG solicite la siguiente evidencia adicional antes de usar estos resultados al diseño de reglas; Primero, estudios de campo en los que haya un acercamiento a comunidades rurales similares, no solo de laboratorio, así </w:t>
      </w:r>
      <w:r>
        <w:t xml:space="preserve">se capturara </w:t>
      </w:r>
      <w:proofErr w:type="gramStart"/>
      <w:r>
        <w:t>la dinámicas</w:t>
      </w:r>
      <w:proofErr w:type="gramEnd"/>
      <w:r>
        <w:t xml:space="preserve"> de relaciones sociales a largo plazo. Segundo, recolectar evidencia sobre la capacidad de pago y dependencia del recurso de las familias usuarias, pues es necesario conocer el contexto local para el resultado. </w:t>
      </w:r>
      <w:proofErr w:type="gramStart"/>
      <w:r>
        <w:t>Y</w:t>
      </w:r>
      <w:proofErr w:type="gramEnd"/>
      <w:r>
        <w:t xml:space="preserve"> por último, eviden</w:t>
      </w:r>
      <w:r>
        <w:t>cia sobre mecanismos alternativos/complementarios al castigo monetario, como lo pueden ser normas sociales, reconocimiento público o participación en la gestión, que pueden sostener la cooperación sin las tensiones que puede generar un sistema de sanciones</w:t>
      </w:r>
      <w:r>
        <w:t xml:space="preserve"> en una comunidad pequeña. </w:t>
      </w:r>
    </w:p>
    <w:p w:rsidR="009A06FA" w:rsidRDefault="009A06FA">
      <w:pPr>
        <w:rPr>
          <w:rFonts w:ascii="Times New Roman" w:eastAsia="Times New Roman" w:hAnsi="Times New Roman" w:cs="Times New Roman"/>
        </w:rPr>
      </w:pPr>
    </w:p>
    <w:p w:rsidR="009A06FA" w:rsidRDefault="00B12EAD">
      <w:pPr>
        <w:spacing w:after="200"/>
      </w:pPr>
      <w:r>
        <w:t xml:space="preserve"> </w:t>
      </w:r>
    </w:p>
    <w:p w:rsidR="009A06FA" w:rsidRDefault="009A06FA"/>
    <w:sectPr w:rsidR="009A06FA">
      <w:footerReference w:type="default" r:id="rId1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12EAD" w:rsidRDefault="00B12EAD">
      <w:pPr>
        <w:spacing w:line="240" w:lineRule="auto"/>
      </w:pPr>
      <w:r>
        <w:separator/>
      </w:r>
    </w:p>
  </w:endnote>
  <w:endnote w:type="continuationSeparator" w:id="0">
    <w:p w:rsidR="00B12EAD" w:rsidRDefault="00B12E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4254F3F-CBFA-4C28-8BC5-74A594C48326}"/>
  </w:font>
  <w:font w:name="Cambria">
    <w:panose1 w:val="02040503050406030204"/>
    <w:charset w:val="00"/>
    <w:family w:val="roman"/>
    <w:pitch w:val="variable"/>
    <w:sig w:usb0="E00006FF" w:usb1="420024FF" w:usb2="02000000" w:usb3="00000000" w:csb0="0000019F" w:csb1="00000000"/>
    <w:embedRegular r:id="rId2" w:fontKey="{036CA5F8-693D-4669-B189-6E3F30A4C9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06FA" w:rsidRDefault="009A06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12EAD" w:rsidRDefault="00B12EAD">
      <w:pPr>
        <w:spacing w:line="240" w:lineRule="auto"/>
      </w:pPr>
      <w:r>
        <w:separator/>
      </w:r>
    </w:p>
  </w:footnote>
  <w:footnote w:type="continuationSeparator" w:id="0">
    <w:p w:rsidR="00B12EAD" w:rsidRDefault="00B12EA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7663440"/>
    <w:multiLevelType w:val="multilevel"/>
    <w:tmpl w:val="70E8F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663145"/>
    <w:multiLevelType w:val="multilevel"/>
    <w:tmpl w:val="B93CD9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0885390"/>
    <w:multiLevelType w:val="multilevel"/>
    <w:tmpl w:val="FD60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8E12B98"/>
    <w:multiLevelType w:val="multilevel"/>
    <w:tmpl w:val="38DA93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5032BBF"/>
    <w:multiLevelType w:val="multilevel"/>
    <w:tmpl w:val="1376188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F2F2CEA"/>
    <w:multiLevelType w:val="multilevel"/>
    <w:tmpl w:val="944C940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1"/>
  </w:num>
  <w:num w:numId="3">
    <w:abstractNumId w:val="2"/>
  </w:num>
  <w:num w:numId="4">
    <w:abstractNumId w:val="3"/>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6FA"/>
    <w:rsid w:val="00414281"/>
    <w:rsid w:val="009A06FA"/>
    <w:rsid w:val="00B12EAD"/>
    <w:rsid w:val="00C06B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796B5"/>
  <w15:docId w15:val="{3D2D8CE6-2456-409C-B15F-887CC66D7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10</Pages>
  <Words>3063</Words>
  <Characters>16847</Characters>
  <Application>Microsoft Office Word</Application>
  <DocSecurity>0</DocSecurity>
  <Lines>140</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Santiago Cortes</cp:lastModifiedBy>
  <cp:revision>2</cp:revision>
  <dcterms:created xsi:type="dcterms:W3CDTF">2026-09-20T23:54:00Z</dcterms:created>
  <dcterms:modified xsi:type="dcterms:W3CDTF">2026-09-21T00:20:00Z</dcterms:modified>
</cp:coreProperties>
</file>