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1C1C1C"/>
      </w:pPr>
      <w:r>
        <w:rPr>
          <w:rFonts w:ascii="Calibri" w:hAnsi="Calibri"/>
          <w:b w:val="0"/>
          <w:i w:val="0"/>
          <w:color w:val="999999"/>
          <w:sz w:val="18"/>
        </w:rPr>
        <w:t xml:space="preserve">  Super de Alimentos  ·  Trade Marketing  ·  Ecuador 🇪🇨</w:t>
      </w:r>
    </w:p>
    <w:p>
      <w:pPr>
        <w:spacing w:before="0" w:after="40"/>
        <w:shd w:val="clear" w:color="auto" w:fill="1C1C1C"/>
      </w:pPr>
      <w:r>
        <w:rPr>
          <w:rFonts w:ascii="Calibri" w:hAnsi="Calibri"/>
          <w:b/>
          <w:i w:val="0"/>
          <w:color w:val="FFFFFF"/>
          <w:sz w:val="44"/>
        </w:rPr>
        <w:t xml:space="preserve">  🌟  OFERTA DE CODIFICACIÓN</w:t>
      </w:r>
    </w:p>
    <w:p>
      <w:pPr>
        <w:spacing w:before="0" w:after="40"/>
        <w:shd w:val="clear" w:color="auto" w:fill="1C1C1C"/>
      </w:pPr>
      <w:r>
        <w:rPr>
          <w:rFonts w:ascii="Calibri" w:hAnsi="Calibri"/>
          <w:b w:val="0"/>
          <w:i w:val="0"/>
          <w:color w:val="AAFF00"/>
          <w:sz w:val="28"/>
        </w:rPr>
        <w:t xml:space="preserve">  Trululu Nanos — Edición Estelar</w:t>
      </w:r>
    </w:p>
    <w:p>
      <w:pPr>
        <w:spacing w:before="0" w:after="40"/>
        <w:shd w:val="clear" w:color="auto" w:fill="80CC00"/>
      </w:pPr>
      <w:r>
        <w:rPr>
          <w:rFonts w:ascii="Calibri" w:hAnsi="Calibri"/>
          <w:b w:val="0"/>
          <w:i w:val="0"/>
          <w:color w:val="FFFFFF"/>
          <w:sz w:val="19"/>
        </w:rPr>
        <w:t xml:space="preserve">  Estrategia para el Gerente de Trade Marketing  ·  Mayo 2026</w:t>
      </w:r>
    </w:p>
    <w:p>
      <w:pPr>
        <w:spacing w:before="0" w:after="80"/>
      </w:pPr>
    </w:p>
    <w:p>
      <w:pPr>
        <w:spacing w:before="280" w:after="80"/>
        <w:pBdr>
          <w:bottom w:val="single" w:sz="10" w:color="80CC00"/>
        </w:pBdr>
      </w:pPr>
      <w:r>
        <w:rPr>
          <w:rFonts w:ascii="Calibri" w:hAnsi="Calibri"/>
          <w:b/>
          <w:i w:val="0"/>
          <w:color w:val="1C1C1C"/>
          <w:sz w:val="28"/>
        </w:rPr>
        <w:t>1. Lectura Estratégica del Contexto</w:t>
      </w:r>
    </w:p>
    <w:p>
      <w:pPr>
        <w:spacing w:before="0" w:after="60"/>
      </w:pPr>
      <w:r>
        <w:rPr>
          <w:rFonts w:ascii="Calibri" w:hAnsi="Calibri"/>
          <w:b w:val="0"/>
          <w:i w:val="0"/>
          <w:color w:val="666666"/>
          <w:sz w:val="21"/>
        </w:rPr>
        <w:t>El contexto entrega tres ventajas que deben orientar cada decisión antes de construir la oferta:</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1C1C1C"/>
          </w:tcPr>
          <w:p>
            <w:pPr>
              <w:spacing w:before="60" w:after="60"/>
              <w:jc w:val="center"/>
            </w:pPr>
            <w:r>
              <w:rPr>
                <w:rFonts w:ascii="Calibri" w:hAnsi="Calibri"/>
                <w:b/>
                <w:i w:val="0"/>
                <w:color w:val="FFFFFF"/>
                <w:sz w:val="20"/>
              </w:rPr>
              <w:t>Dato del contexto</w:t>
            </w:r>
          </w:p>
        </w:tc>
        <w:tc>
          <w:tcPr>
            <w:tcW w:type="dxa" w:w="6192"/>
            <w:shd w:val="clear" w:color="auto" w:fill="1C1C1C"/>
          </w:tcPr>
          <w:p>
            <w:pPr>
              <w:spacing w:before="60" w:after="60"/>
              <w:jc w:val="center"/>
            </w:pPr>
            <w:r>
              <w:rPr>
                <w:rFonts w:ascii="Calibri" w:hAnsi="Calibri"/>
                <w:b/>
                <w:i w:val="0"/>
                <w:color w:val="FFFFFF"/>
                <w:sz w:val="20"/>
              </w:rPr>
              <w:t>Implicación táctica</w:t>
            </w:r>
          </w:p>
        </w:tc>
      </w:tr>
      <w:tr>
        <w:tc>
          <w:tcPr>
            <w:tcW w:type="dxa" w:w="3600"/>
            <w:shd w:val="clear" w:color="auto" w:fill="F5F5F5"/>
          </w:tcPr>
          <w:p>
            <w:pPr>
              <w:spacing w:before="40" w:after="40"/>
            </w:pPr>
            <w:r>
              <w:rPr>
                <w:rFonts w:ascii="Calibri" w:hAnsi="Calibri"/>
                <w:b/>
                <w:i w:val="0"/>
                <w:color w:val="1C1C1C"/>
                <w:sz w:val="20"/>
              </w:rPr>
              <w:t>Trululu lidera el TOM de la categoría</w:t>
            </w:r>
          </w:p>
        </w:tc>
        <w:tc>
          <w:tcPr>
            <w:tcW w:type="dxa" w:w="6192"/>
            <w:shd w:val="clear" w:color="auto" w:fill="F5F5F5"/>
          </w:tcPr>
          <w:p>
            <w:pPr>
              <w:spacing w:before="40" w:after="40"/>
            </w:pPr>
            <w:r>
              <w:rPr>
                <w:rFonts w:ascii="Calibri" w:hAnsi="Calibri"/>
                <w:b w:val="0"/>
                <w:i w:val="0"/>
                <w:color w:val="666666"/>
                <w:sz w:val="20"/>
              </w:rPr>
              <w:t>No hay que vender la marca — ya está instalada en el consumidor. La tarea es reducir la barrera de entrada a la nueva referencia.</w:t>
            </w:r>
          </w:p>
        </w:tc>
      </w:tr>
      <w:tr>
        <w:tc>
          <w:tcPr>
            <w:tcW w:type="dxa" w:w="3600"/>
            <w:shd w:val="clear" w:color="auto" w:fill="FFFFFF"/>
          </w:tcPr>
          <w:p>
            <w:pPr>
              <w:spacing w:before="40" w:after="40"/>
            </w:pPr>
            <w:r>
              <w:rPr>
                <w:rFonts w:ascii="Calibri" w:hAnsi="Calibri"/>
                <w:b/>
                <w:i w:val="0"/>
                <w:color w:val="1C1C1C"/>
                <w:sz w:val="20"/>
              </w:rPr>
              <w:t>80 % del volumen pasa por mayoristas</w:t>
            </w:r>
          </w:p>
        </w:tc>
        <w:tc>
          <w:tcPr>
            <w:tcW w:type="dxa" w:w="6192"/>
            <w:shd w:val="clear" w:color="auto" w:fill="FFFFFF"/>
          </w:tcPr>
          <w:p>
            <w:pPr>
              <w:spacing w:before="40" w:after="40"/>
            </w:pPr>
            <w:r>
              <w:rPr>
                <w:rFonts w:ascii="Calibri" w:hAnsi="Calibri"/>
                <w:b w:val="0"/>
                <w:i w:val="0"/>
                <w:color w:val="666666"/>
                <w:sz w:val="20"/>
              </w:rPr>
              <w:t>El mayorista es donde el tendero compra. Activar ahí genera demanda pull antes de que el vendedor llegue a la puerta de la tienda.</w:t>
            </w:r>
          </w:p>
        </w:tc>
      </w:tr>
      <w:tr>
        <w:tc>
          <w:tcPr>
            <w:tcW w:type="dxa" w:w="3600"/>
            <w:shd w:val="clear" w:color="auto" w:fill="F5F5F5"/>
          </w:tcPr>
          <w:p>
            <w:pPr>
              <w:spacing w:before="40" w:after="40"/>
            </w:pPr>
            <w:r>
              <w:rPr>
                <w:rFonts w:ascii="Calibri" w:hAnsi="Calibri"/>
                <w:b/>
                <w:i w:val="0"/>
                <w:color w:val="1C1C1C"/>
                <w:sz w:val="20"/>
              </w:rPr>
              <w:t>Un único distribuidor con 785 vendedores cubre el T2T</w:t>
            </w:r>
          </w:p>
        </w:tc>
        <w:tc>
          <w:tcPr>
            <w:tcW w:type="dxa" w:w="6192"/>
            <w:shd w:val="clear" w:color="auto" w:fill="F5F5F5"/>
          </w:tcPr>
          <w:p>
            <w:pPr>
              <w:spacing w:before="40" w:after="40"/>
            </w:pPr>
            <w:r>
              <w:rPr>
                <w:rFonts w:ascii="Calibri" w:hAnsi="Calibri"/>
                <w:b w:val="0"/>
                <w:i w:val="0"/>
                <w:color w:val="666666"/>
                <w:sz w:val="20"/>
              </w:rPr>
              <w:t>El distribuidor es el canal de llegada. Si sus vendedores no están convencidos y equipados, Edición Estelar no llega a la tienda.</w:t>
            </w:r>
          </w:p>
        </w:tc>
      </w:tr>
    </w:tbl>
    <w:p>
      <w:pPr>
        <w:spacing w:before="0" w:after="80"/>
      </w:pPr>
    </w:p>
    <w:p>
      <w:pPr>
        <w:spacing w:before="160" w:after="80"/>
      </w:pPr>
      <w:r>
        <w:rPr>
          <w:rFonts w:ascii="Calibri" w:hAnsi="Calibri"/>
          <w:b/>
          <w:i w:val="0"/>
          <w:color w:val="80CC00"/>
          <w:sz w:val="23"/>
        </w:rPr>
        <w:t>El argumento que convence al tendero</w:t>
      </w:r>
    </w:p>
    <w:p>
      <w:pPr>
        <w:spacing w:before="0" w:after="60"/>
      </w:pPr>
      <w:r>
        <w:rPr>
          <w:rFonts w:ascii="Calibri" w:hAnsi="Calibri"/>
          <w:b w:val="0"/>
          <w:i w:val="0"/>
          <w:color w:val="666666"/>
          <w:sz w:val="21"/>
        </w:rPr>
        <w:t>La mayoría de los argumentos de lanzamiento le hablan al tendero del producto. Este le habla de su negocio:</w:t>
      </w:r>
    </w:p>
    <w:p>
      <w:pPr>
        <w:spacing w:before="80" w:after="120"/>
        <w:ind w:left="144"/>
        <w:shd w:val="clear" w:color="auto" w:fill="1C1C1C"/>
      </w:pPr>
      <w:r>
        <w:rPr>
          <w:rFonts w:ascii="Calibri" w:hAnsi="Calibri"/>
          <w:b w:val="0"/>
          <w:i/>
          <w:color w:val="FFFFFF"/>
          <w:sz w:val="21"/>
        </w:rPr>
        <w:t xml:space="preserve">  "Tus clientes ya piden Trululu — Edición Estelar solo hay que ponerla donde la vean. No te pido que la vendas: te pido que la pongas. Con 48 unidades y la bonificación incluida, recuperas tu inversión antes de que se acabe la semana. Y el que no la tenga... le regala la venta al de enfrente."</w:t>
      </w:r>
    </w:p>
    <w:p>
      <w:pPr>
        <w:spacing w:before="0" w:after="60"/>
        <w:ind w:left="288"/>
      </w:pPr>
      <w:r>
        <w:rPr>
          <w:rFonts w:ascii="Calibri" w:hAnsi="Calibri"/>
          <w:b w:val="0"/>
          <w:i/>
          <w:color w:val="1C1C1C"/>
          <w:sz w:val="20"/>
        </w:rPr>
        <w:t>▸  La clave del argumento es el riesgo de oportunidad, no el beneficio del producto. Al tendero le duele más perder una venta que ganar un bono.</w:t>
      </w:r>
    </w:p>
    <w:p>
      <w:pPr>
        <w:spacing w:before="280" w:after="80"/>
        <w:pBdr>
          <w:bottom w:val="single" w:sz="10" w:color="80CC00"/>
        </w:pBdr>
      </w:pPr>
      <w:r>
        <w:rPr>
          <w:rFonts w:ascii="Calibri" w:hAnsi="Calibri"/>
          <w:b/>
          <w:i w:val="0"/>
          <w:color w:val="1C1C1C"/>
          <w:sz w:val="28"/>
        </w:rPr>
        <w:t>2. Configuración de la Oferta al Tendero</w:t>
      </w:r>
    </w:p>
    <w:p>
      <w:pPr>
        <w:spacing w:before="0" w:after="60"/>
      </w:pPr>
      <w:r>
        <w:rPr>
          <w:rFonts w:ascii="Calibri" w:hAnsi="Calibri"/>
          <w:b w:val="0"/>
          <w:i w:val="0"/>
          <w:color w:val="666666"/>
          <w:sz w:val="21"/>
        </w:rPr>
        <w:t>La oferta opera en tres pilares encadenados: el primero elimina el miedo a codificar, el segundo hace que la primera compra sea inmediatamente rentable, y el tercero convierte esa compra en reposición automática.</w:t>
      </w:r>
    </w:p>
    <w:p>
      <w:pPr>
        <w:spacing w:before="160" w:after="80"/>
      </w:pPr>
      <w:r>
        <w:rPr>
          <w:rFonts w:ascii="Calibri" w:hAnsi="Calibri"/>
          <w:b/>
          <w:i w:val="0"/>
          <w:color w:val="80CC00"/>
          <w:sz w:val="23"/>
        </w:rPr>
        <w:t>Pilar 1 — Entrada fácil</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1C1C1C"/>
          </w:tcPr>
          <w:p>
            <w:pPr>
              <w:spacing w:before="60" w:after="60"/>
              <w:jc w:val="center"/>
            </w:pPr>
            <w:r>
              <w:rPr>
                <w:rFonts w:ascii="Calibri" w:hAnsi="Calibri"/>
                <w:b/>
                <w:i w:val="0"/>
                <w:color w:val="FFFFFF"/>
                <w:sz w:val="20"/>
              </w:rPr>
              <w:t>Elemento</w:t>
            </w:r>
          </w:p>
        </w:tc>
        <w:tc>
          <w:tcPr>
            <w:tcW w:type="dxa" w:w="6192"/>
            <w:shd w:val="clear" w:color="auto" w:fill="1C1C1C"/>
          </w:tcPr>
          <w:p>
            <w:pPr>
              <w:spacing w:before="60" w:after="60"/>
              <w:jc w:val="center"/>
            </w:pPr>
            <w:r>
              <w:rPr>
                <w:rFonts w:ascii="Calibri" w:hAnsi="Calibri"/>
                <w:b/>
                <w:i w:val="0"/>
                <w:color w:val="FFFFFF"/>
                <w:sz w:val="20"/>
              </w:rPr>
              <w:t>Detalle</w:t>
            </w:r>
          </w:p>
        </w:tc>
      </w:tr>
      <w:tr>
        <w:tc>
          <w:tcPr>
            <w:tcW w:type="dxa" w:w="3600"/>
            <w:shd w:val="clear" w:color="auto" w:fill="F5F5F5"/>
          </w:tcPr>
          <w:p>
            <w:pPr>
              <w:spacing w:before="40" w:after="40"/>
            </w:pPr>
            <w:r>
              <w:rPr>
                <w:rFonts w:ascii="Calibri" w:hAnsi="Calibri"/>
                <w:b/>
                <w:i w:val="0"/>
                <w:color w:val="1C1C1C"/>
                <w:sz w:val="20"/>
              </w:rPr>
              <w:t>Pack mínimo</w:t>
            </w:r>
          </w:p>
        </w:tc>
        <w:tc>
          <w:tcPr>
            <w:tcW w:type="dxa" w:w="6192"/>
            <w:shd w:val="clear" w:color="auto" w:fill="F5F5F5"/>
          </w:tcPr>
          <w:p>
            <w:pPr>
              <w:spacing w:before="40" w:after="40"/>
            </w:pPr>
            <w:r>
              <w:rPr>
                <w:rFonts w:ascii="Calibri" w:hAnsi="Calibri"/>
                <w:b w:val="0"/>
                <w:i w:val="0"/>
                <w:color w:val="666666"/>
                <w:sz w:val="20"/>
              </w:rPr>
              <w:t>2 displays × 24 und = 48 unidades</w:t>
            </w:r>
          </w:p>
        </w:tc>
      </w:tr>
      <w:tr>
        <w:tc>
          <w:tcPr>
            <w:tcW w:type="dxa" w:w="3600"/>
            <w:shd w:val="clear" w:color="auto" w:fill="FFFFFF"/>
          </w:tcPr>
          <w:p>
            <w:pPr>
              <w:spacing w:before="40" w:after="40"/>
            </w:pPr>
            <w:r>
              <w:rPr>
                <w:rFonts w:ascii="Calibri" w:hAnsi="Calibri"/>
                <w:b/>
                <w:i w:val="0"/>
                <w:color w:val="1C1C1C"/>
                <w:sz w:val="20"/>
              </w:rPr>
              <w:t>Precio de lanzamiento</w:t>
            </w:r>
          </w:p>
        </w:tc>
        <w:tc>
          <w:tcPr>
            <w:tcW w:type="dxa" w:w="6192"/>
            <w:shd w:val="clear" w:color="auto" w:fill="FFFFFF"/>
          </w:tcPr>
          <w:p>
            <w:pPr>
              <w:spacing w:before="40" w:after="40"/>
            </w:pPr>
            <w:r>
              <w:rPr>
                <w:rFonts w:ascii="Calibri" w:hAnsi="Calibri"/>
                <w:b w:val="0"/>
                <w:i w:val="0"/>
                <w:color w:val="666666"/>
                <w:sz w:val="20"/>
              </w:rPr>
              <w:t>12 % de descuento vs lista — solo primera compra</w:t>
            </w:r>
          </w:p>
        </w:tc>
      </w:tr>
      <w:tr>
        <w:tc>
          <w:tcPr>
            <w:tcW w:type="dxa" w:w="3600"/>
            <w:shd w:val="clear" w:color="auto" w:fill="F5F5F5"/>
          </w:tcPr>
          <w:p>
            <w:pPr>
              <w:spacing w:before="40" w:after="40"/>
            </w:pPr>
            <w:r>
              <w:rPr>
                <w:rFonts w:ascii="Calibri" w:hAnsi="Calibri"/>
                <w:b/>
                <w:i w:val="0"/>
                <w:color w:val="1C1C1C"/>
                <w:sz w:val="20"/>
              </w:rPr>
              <w:t>Exhibidor gratis</w:t>
            </w:r>
          </w:p>
        </w:tc>
        <w:tc>
          <w:tcPr>
            <w:tcW w:type="dxa" w:w="6192"/>
            <w:shd w:val="clear" w:color="auto" w:fill="F5F5F5"/>
          </w:tcPr>
          <w:p>
            <w:pPr>
              <w:spacing w:before="40" w:after="40"/>
            </w:pPr>
            <w:r>
              <w:rPr>
                <w:rFonts w:ascii="Calibri" w:hAnsi="Calibri"/>
                <w:b w:val="0"/>
                <w:i w:val="0"/>
                <w:color w:val="666666"/>
                <w:sz w:val="20"/>
              </w:rPr>
              <w:t>Para los primeros 200 tenderos en codificar</w:t>
            </w:r>
          </w:p>
        </w:tc>
      </w:tr>
    </w:tbl>
    <w:p>
      <w:pPr>
        <w:spacing w:before="0" w:after="80"/>
      </w:pPr>
    </w:p>
    <w:p>
      <w:pPr>
        <w:spacing w:before="160" w:after="80"/>
      </w:pPr>
      <w:r>
        <w:rPr>
          <w:rFonts w:ascii="Calibri" w:hAnsi="Calibri"/>
          <w:b/>
          <w:i w:val="0"/>
          <w:color w:val="80CC00"/>
          <w:sz w:val="23"/>
        </w:rPr>
        <w:t>Pilar 2 — Beneficio inmediato</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1C1C1C"/>
          </w:tcPr>
          <w:p>
            <w:pPr>
              <w:spacing w:before="60" w:after="60"/>
              <w:jc w:val="center"/>
            </w:pPr>
            <w:r>
              <w:rPr>
                <w:rFonts w:ascii="Calibri" w:hAnsi="Calibri"/>
                <w:b/>
                <w:i w:val="0"/>
                <w:color w:val="FFFFFF"/>
                <w:sz w:val="20"/>
              </w:rPr>
              <w:t>Elemento</w:t>
            </w:r>
          </w:p>
        </w:tc>
        <w:tc>
          <w:tcPr>
            <w:tcW w:type="dxa" w:w="6192"/>
            <w:shd w:val="clear" w:color="auto" w:fill="1C1C1C"/>
          </w:tcPr>
          <w:p>
            <w:pPr>
              <w:spacing w:before="60" w:after="60"/>
              <w:jc w:val="center"/>
            </w:pPr>
            <w:r>
              <w:rPr>
                <w:rFonts w:ascii="Calibri" w:hAnsi="Calibri"/>
                <w:b/>
                <w:i w:val="0"/>
                <w:color w:val="FFFFFF"/>
                <w:sz w:val="20"/>
              </w:rPr>
              <w:t>Detalle</w:t>
            </w:r>
          </w:p>
        </w:tc>
      </w:tr>
      <w:tr>
        <w:tc>
          <w:tcPr>
            <w:tcW w:type="dxa" w:w="3600"/>
            <w:shd w:val="clear" w:color="auto" w:fill="F5F5F5"/>
          </w:tcPr>
          <w:p>
            <w:pPr>
              <w:spacing w:before="40" w:after="40"/>
            </w:pPr>
            <w:r>
              <w:rPr>
                <w:rFonts w:ascii="Calibri" w:hAnsi="Calibri"/>
                <w:b/>
                <w:i w:val="0"/>
                <w:color w:val="1C1C1C"/>
                <w:sz w:val="20"/>
              </w:rPr>
              <w:t>Bonificación 1×12</w:t>
            </w:r>
          </w:p>
        </w:tc>
        <w:tc>
          <w:tcPr>
            <w:tcW w:type="dxa" w:w="6192"/>
            <w:shd w:val="clear" w:color="auto" w:fill="F5F5F5"/>
          </w:tcPr>
          <w:p>
            <w:pPr>
              <w:spacing w:before="40" w:after="40"/>
            </w:pPr>
            <w:r>
              <w:rPr>
                <w:rFonts w:ascii="Calibri" w:hAnsi="Calibri"/>
                <w:b w:val="0"/>
                <w:i w:val="0"/>
                <w:color w:val="666666"/>
                <w:sz w:val="20"/>
              </w:rPr>
              <w:t>Por 48 und compradas → 4 und gratis</w:t>
            </w:r>
          </w:p>
        </w:tc>
      </w:tr>
      <w:tr>
        <w:tc>
          <w:tcPr>
            <w:tcW w:type="dxa" w:w="3600"/>
            <w:shd w:val="clear" w:color="auto" w:fill="FFFFFF"/>
          </w:tcPr>
          <w:p>
            <w:pPr>
              <w:spacing w:before="40" w:after="40"/>
            </w:pPr>
            <w:r>
              <w:rPr>
                <w:rFonts w:ascii="Calibri" w:hAnsi="Calibri"/>
                <w:b/>
                <w:i w:val="0"/>
                <w:color w:val="1C1C1C"/>
                <w:sz w:val="20"/>
              </w:rPr>
              <w:t>Sticker de fachada</w:t>
            </w:r>
          </w:p>
        </w:tc>
        <w:tc>
          <w:tcPr>
            <w:tcW w:type="dxa" w:w="6192"/>
            <w:shd w:val="clear" w:color="auto" w:fill="FFFFFF"/>
          </w:tcPr>
          <w:p>
            <w:pPr>
              <w:spacing w:before="40" w:after="40"/>
            </w:pPr>
            <w:r>
              <w:rPr>
                <w:rFonts w:ascii="Calibri" w:hAnsi="Calibri"/>
                <w:b w:val="0"/>
                <w:i w:val="0"/>
                <w:color w:val="666666"/>
                <w:sz w:val="20"/>
              </w:rPr>
              <w:t>"Punto Oficial Edición Estelar" — genera orgullo y atrae al consumidor</w:t>
            </w:r>
          </w:p>
        </w:tc>
      </w:tr>
      <w:tr>
        <w:tc>
          <w:tcPr>
            <w:tcW w:type="dxa" w:w="3600"/>
            <w:shd w:val="clear" w:color="auto" w:fill="F5F5F5"/>
          </w:tcPr>
          <w:p>
            <w:pPr>
              <w:spacing w:before="40" w:after="40"/>
            </w:pPr>
            <w:r>
              <w:rPr>
                <w:rFonts w:ascii="Calibri" w:hAnsi="Calibri"/>
                <w:b/>
                <w:i w:val="0"/>
                <w:color w:val="1C1C1C"/>
                <w:sz w:val="20"/>
              </w:rPr>
              <w:t>Sorteo mensual</w:t>
            </w:r>
          </w:p>
        </w:tc>
        <w:tc>
          <w:tcPr>
            <w:tcW w:type="dxa" w:w="6192"/>
            <w:shd w:val="clear" w:color="auto" w:fill="F5F5F5"/>
          </w:tcPr>
          <w:p>
            <w:pPr>
              <w:spacing w:before="40" w:after="40"/>
            </w:pPr>
            <w:r>
              <w:rPr>
                <w:rFonts w:ascii="Calibri" w:hAnsi="Calibri"/>
                <w:b w:val="0"/>
                <w:i w:val="0"/>
                <w:color w:val="666666"/>
                <w:sz w:val="20"/>
              </w:rPr>
              <w:t>El mejor codificador del mes gana una tablet o televisor</w:t>
            </w:r>
          </w:p>
        </w:tc>
      </w:tr>
    </w:tbl>
    <w:p>
      <w:pPr>
        <w:spacing w:before="0" w:after="80"/>
      </w:pPr>
    </w:p>
    <w:p>
      <w:pPr>
        <w:spacing w:before="160" w:after="80"/>
      </w:pPr>
      <w:r>
        <w:rPr>
          <w:rFonts w:ascii="Calibri" w:hAnsi="Calibri"/>
          <w:b/>
          <w:i w:val="0"/>
          <w:color w:val="80CC00"/>
          <w:sz w:val="23"/>
        </w:rPr>
        <w:t>Pilar 3 — Acelerador de recompra</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1C1C1C"/>
          </w:tcPr>
          <w:p>
            <w:pPr>
              <w:spacing w:before="60" w:after="60"/>
              <w:jc w:val="center"/>
            </w:pPr>
            <w:r>
              <w:rPr>
                <w:rFonts w:ascii="Calibri" w:hAnsi="Calibri"/>
                <w:b/>
                <w:i w:val="0"/>
                <w:color w:val="FFFFFF"/>
                <w:sz w:val="20"/>
              </w:rPr>
              <w:t>Elemento</w:t>
            </w:r>
          </w:p>
        </w:tc>
        <w:tc>
          <w:tcPr>
            <w:tcW w:type="dxa" w:w="6192"/>
            <w:shd w:val="clear" w:color="auto" w:fill="1C1C1C"/>
          </w:tcPr>
          <w:p>
            <w:pPr>
              <w:spacing w:before="60" w:after="60"/>
              <w:jc w:val="center"/>
            </w:pPr>
            <w:r>
              <w:rPr>
                <w:rFonts w:ascii="Calibri" w:hAnsi="Calibri"/>
                <w:b/>
                <w:i w:val="0"/>
                <w:color w:val="FFFFFF"/>
                <w:sz w:val="20"/>
              </w:rPr>
              <w:t>Detalle</w:t>
            </w:r>
          </w:p>
        </w:tc>
      </w:tr>
      <w:tr>
        <w:tc>
          <w:tcPr>
            <w:tcW w:type="dxa" w:w="3600"/>
            <w:shd w:val="clear" w:color="auto" w:fill="F5F5F5"/>
          </w:tcPr>
          <w:p>
            <w:pPr>
              <w:spacing w:before="40" w:after="40"/>
            </w:pPr>
            <w:r>
              <w:rPr>
                <w:rFonts w:ascii="Calibri" w:hAnsi="Calibri"/>
                <w:b/>
                <w:i w:val="0"/>
                <w:color w:val="1C1C1C"/>
                <w:sz w:val="20"/>
              </w:rPr>
              <w:t>Reposición antes de 15 días</w:t>
            </w:r>
          </w:p>
        </w:tc>
        <w:tc>
          <w:tcPr>
            <w:tcW w:type="dxa" w:w="6192"/>
            <w:shd w:val="clear" w:color="auto" w:fill="F5F5F5"/>
          </w:tcPr>
          <w:p>
            <w:pPr>
              <w:spacing w:before="40" w:after="40"/>
            </w:pPr>
            <w:r>
              <w:rPr>
                <w:rFonts w:ascii="Calibri" w:hAnsi="Calibri"/>
                <w:b w:val="0"/>
                <w:i w:val="0"/>
                <w:color w:val="666666"/>
                <w:sz w:val="20"/>
              </w:rPr>
              <w:t>+ 5 % de descuento adicional en segunda compra</w:t>
            </w:r>
          </w:p>
        </w:tc>
      </w:tr>
      <w:tr>
        <w:tc>
          <w:tcPr>
            <w:tcW w:type="dxa" w:w="3600"/>
            <w:shd w:val="clear" w:color="auto" w:fill="FFFFFF"/>
          </w:tcPr>
          <w:p>
            <w:pPr>
              <w:spacing w:before="40" w:after="40"/>
            </w:pPr>
            <w:r>
              <w:rPr>
                <w:rFonts w:ascii="Calibri" w:hAnsi="Calibri"/>
                <w:b/>
                <w:i w:val="0"/>
                <w:color w:val="1C1C1C"/>
                <w:sz w:val="20"/>
              </w:rPr>
              <w:t>Programa Estrella Constante</w:t>
            </w:r>
          </w:p>
        </w:tc>
        <w:tc>
          <w:tcPr>
            <w:tcW w:type="dxa" w:w="6192"/>
            <w:shd w:val="clear" w:color="auto" w:fill="FFFFFF"/>
          </w:tcPr>
          <w:p>
            <w:pPr>
              <w:spacing w:before="40" w:after="40"/>
            </w:pPr>
            <w:r>
              <w:rPr>
                <w:rFonts w:ascii="Calibri" w:hAnsi="Calibri"/>
                <w:b w:val="0"/>
                <w:i w:val="0"/>
                <w:color w:val="666666"/>
                <w:sz w:val="20"/>
              </w:rPr>
              <w:t>3 compras consecutivas = POP con el nombre del negocio</w:t>
            </w:r>
          </w:p>
        </w:tc>
      </w:tr>
    </w:tbl>
    <w:p>
      <w:pPr>
        <w:spacing w:before="0" w:after="80"/>
      </w:pPr>
    </w:p>
    <w:p>
      <w:pPr>
        <w:spacing w:before="160" w:after="0"/>
        <w:shd w:val="clear" w:color="auto" w:fill="80CC00"/>
      </w:pPr>
      <w:r>
        <w:rPr>
          <w:rFonts w:ascii="Calibri" w:hAnsi="Calibri"/>
          <w:b/>
          <w:i w:val="0"/>
          <w:color w:val="FFFFFF"/>
          <w:sz w:val="21"/>
        </w:rPr>
        <w:t xml:space="preserve">  RESUMEN DE LA OFERTA</w:t>
      </w:r>
    </w:p>
    <w:p>
      <w:pPr>
        <w:spacing w:before="0" w:after="20"/>
        <w:ind w:left="144"/>
        <w:shd w:val="clear" w:color="auto" w:fill="F0FFCC"/>
      </w:pPr>
      <w:r>
        <w:rPr>
          <w:rFonts w:ascii="Calibri" w:hAnsi="Calibri"/>
          <w:b w:val="0"/>
          <w:i w:val="0"/>
          <w:color w:val="1C1C1C"/>
          <w:sz w:val="20"/>
        </w:rPr>
        <w:t xml:space="preserve">  Entrada:   48 und + 12 % dcto + exhibidor gratis (primeros 200)</w:t>
      </w:r>
    </w:p>
    <w:p>
      <w:pPr>
        <w:spacing w:before="0" w:after="20"/>
        <w:ind w:left="144"/>
        <w:shd w:val="clear" w:color="auto" w:fill="F0FFCC"/>
      </w:pPr>
      <w:r>
        <w:rPr>
          <w:rFonts w:ascii="Calibri" w:hAnsi="Calibri"/>
          <w:b w:val="0"/>
          <w:i w:val="0"/>
          <w:color w:val="1C1C1C"/>
          <w:sz w:val="20"/>
        </w:rPr>
        <w:t xml:space="preserve">  Beneficio: bonificación 1×12 + sticker de fachada + sorteo mensual</w:t>
      </w:r>
    </w:p>
    <w:p>
      <w:pPr>
        <w:spacing w:before="0" w:after="20"/>
        <w:ind w:left="144"/>
        <w:shd w:val="clear" w:color="auto" w:fill="F0FFCC"/>
      </w:pPr>
      <w:r>
        <w:rPr>
          <w:rFonts w:ascii="Calibri" w:hAnsi="Calibri"/>
          <w:b w:val="0"/>
          <w:i w:val="0"/>
          <w:color w:val="1C1C1C"/>
          <w:sz w:val="20"/>
        </w:rPr>
        <w:t xml:space="preserve">  Recompra:  + 5 % dcto en reposición &lt; 15 días  |  POP personalizado a 3 compras</w:t>
      </w:r>
    </w:p>
    <w:p>
      <w:pPr>
        <w:spacing w:before="0" w:after="120"/>
      </w:pPr>
    </w:p>
    <w:p>
      <w:pPr>
        <w:spacing w:before="280" w:after="80"/>
        <w:pBdr>
          <w:bottom w:val="single" w:sz="10" w:color="80CC00"/>
        </w:pBdr>
      </w:pPr>
      <w:r>
        <w:rPr>
          <w:rFonts w:ascii="Calibri" w:hAnsi="Calibri"/>
          <w:b/>
          <w:i w:val="0"/>
          <w:color w:val="1C1C1C"/>
          <w:sz w:val="28"/>
        </w:rPr>
        <w:t>3. Timeline de Lanzamiento — 4 Semanas</w:t>
      </w:r>
    </w:p>
    <w:p>
      <w:pPr>
        <w:spacing w:before="0" w:after="60"/>
      </w:pPr>
      <w:r>
        <w:rPr>
          <w:rFonts w:ascii="Calibri" w:hAnsi="Calibri"/>
          <w:b w:val="0"/>
          <w:i w:val="0"/>
          <w:color w:val="666666"/>
          <w:sz w:val="21"/>
        </w:rPr>
        <w:t>La estrategia opera en cascada desde la cúpula del distribuidor hasta cada tienda. Cada semana tiene un foco único y no avanza hasta que el anterior esté cerrado:</w:t>
      </w:r>
    </w:p>
    <w:p>
      <w:pPr>
        <w:spacing w:before="0" w:after="80"/>
      </w:pP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037"/>
            <w:tcBorders>
              <w:top w:val="none" w:sz="0" w:color="auto"/>
              <w:left w:val="none" w:sz="0" w:color="auto"/>
              <w:bottom w:val="none" w:sz="0" w:color="auto"/>
              <w:right w:val="none" w:sz="0" w:color="auto"/>
              <w:insideH w:val="none" w:sz="0" w:color="auto"/>
              <w:insideV w:val="none" w:sz="0" w:color="auto"/>
            </w:tcBorders>
            <w:shd w:val="clear" w:color="auto" w:fill="80CC00"/>
          </w:tcPr>
          <w:p>
            <w:pPr>
              <w:spacing w:before="60" w:after="60"/>
              <w:jc w:val="center"/>
            </w:pPr>
            <w:r>
              <w:rPr>
                <w:rFonts w:ascii="Calibri" w:hAnsi="Calibri"/>
                <w:b/>
                <w:i w:val="0"/>
                <w:color w:val="FFFFFF"/>
                <w:sz w:val="28"/>
              </w:rPr>
              <w:t>S0</w:t>
            </w:r>
          </w:p>
        </w:tc>
        <w:tc>
          <w:tcPr>
            <w:tcW w:type="dxa" w:w="1882"/>
            <w:tcBorders>
              <w:top w:val="none" w:sz="0" w:color="auto"/>
              <w:left w:val="none" w:sz="0" w:color="auto"/>
              <w:bottom w:val="none" w:sz="0" w:color="auto"/>
              <w:right w:val="none" w:sz="0" w:color="auto"/>
              <w:insideH w:val="none" w:sz="0" w:color="auto"/>
              <w:insideV w:val="none" w:sz="0" w:color="auto"/>
            </w:tcBorders>
            <w:shd w:val="clear" w:color="auto" w:fill="1C1C1C"/>
          </w:tcPr>
          <w:p>
            <w:pPr>
              <w:spacing w:before="60" w:after="60"/>
              <w:jc w:val="center"/>
            </w:pPr>
            <w:r>
              <w:rPr>
                <w:rFonts w:ascii="Calibri" w:hAnsi="Calibri"/>
                <w:b w:val="0"/>
                <w:i w:val="0"/>
                <w:color w:val="999999"/>
                <w:sz w:val="20"/>
              </w:rPr>
              <w:t>──────</w:t>
            </w:r>
          </w:p>
        </w:tc>
        <w:tc>
          <w:tcPr>
            <w:tcW w:type="dxa" w:w="1037"/>
            <w:tcBorders>
              <w:top w:val="none" w:sz="0" w:color="auto"/>
              <w:left w:val="none" w:sz="0" w:color="auto"/>
              <w:bottom w:val="none" w:sz="0" w:color="auto"/>
              <w:right w:val="none" w:sz="0" w:color="auto"/>
              <w:insideH w:val="none" w:sz="0" w:color="auto"/>
              <w:insideV w:val="none" w:sz="0" w:color="auto"/>
            </w:tcBorders>
            <w:shd w:val="clear" w:color="auto" w:fill="80CC00"/>
          </w:tcPr>
          <w:p>
            <w:pPr>
              <w:spacing w:before="60" w:after="60"/>
              <w:jc w:val="center"/>
            </w:pPr>
            <w:r>
              <w:rPr>
                <w:rFonts w:ascii="Calibri" w:hAnsi="Calibri"/>
                <w:b/>
                <w:i w:val="0"/>
                <w:color w:val="FFFFFF"/>
                <w:sz w:val="28"/>
              </w:rPr>
              <w:t>S1</w:t>
            </w:r>
          </w:p>
        </w:tc>
        <w:tc>
          <w:tcPr>
            <w:tcW w:type="dxa" w:w="1882"/>
            <w:tcBorders>
              <w:top w:val="none" w:sz="0" w:color="auto"/>
              <w:left w:val="none" w:sz="0" w:color="auto"/>
              <w:bottom w:val="none" w:sz="0" w:color="auto"/>
              <w:right w:val="none" w:sz="0" w:color="auto"/>
              <w:insideH w:val="none" w:sz="0" w:color="auto"/>
              <w:insideV w:val="none" w:sz="0" w:color="auto"/>
            </w:tcBorders>
            <w:shd w:val="clear" w:color="auto" w:fill="1C1C1C"/>
          </w:tcPr>
          <w:p>
            <w:pPr>
              <w:spacing w:before="60" w:after="60"/>
              <w:jc w:val="center"/>
            </w:pPr>
            <w:r>
              <w:rPr>
                <w:rFonts w:ascii="Calibri" w:hAnsi="Calibri"/>
                <w:b w:val="0"/>
                <w:i w:val="0"/>
                <w:color w:val="999999"/>
                <w:sz w:val="20"/>
              </w:rPr>
              <w:t>──────</w:t>
            </w:r>
          </w:p>
        </w:tc>
        <w:tc>
          <w:tcPr>
            <w:tcW w:type="dxa" w:w="1037"/>
            <w:tcBorders>
              <w:top w:val="none" w:sz="0" w:color="auto"/>
              <w:left w:val="none" w:sz="0" w:color="auto"/>
              <w:bottom w:val="none" w:sz="0" w:color="auto"/>
              <w:right w:val="none" w:sz="0" w:color="auto"/>
              <w:insideH w:val="none" w:sz="0" w:color="auto"/>
              <w:insideV w:val="none" w:sz="0" w:color="auto"/>
            </w:tcBorders>
            <w:shd w:val="clear" w:color="auto" w:fill="80CC00"/>
          </w:tcPr>
          <w:p>
            <w:pPr>
              <w:spacing w:before="60" w:after="60"/>
              <w:jc w:val="center"/>
            </w:pPr>
            <w:r>
              <w:rPr>
                <w:rFonts w:ascii="Calibri" w:hAnsi="Calibri"/>
                <w:b/>
                <w:i w:val="0"/>
                <w:color w:val="FFFFFF"/>
                <w:sz w:val="28"/>
              </w:rPr>
              <w:t>S2–S3</w:t>
            </w:r>
          </w:p>
        </w:tc>
        <w:tc>
          <w:tcPr>
            <w:tcW w:type="dxa" w:w="1882"/>
            <w:tcBorders>
              <w:top w:val="none" w:sz="0" w:color="auto"/>
              <w:left w:val="none" w:sz="0" w:color="auto"/>
              <w:bottom w:val="none" w:sz="0" w:color="auto"/>
              <w:right w:val="none" w:sz="0" w:color="auto"/>
              <w:insideH w:val="none" w:sz="0" w:color="auto"/>
              <w:insideV w:val="none" w:sz="0" w:color="auto"/>
            </w:tcBorders>
            <w:shd w:val="clear" w:color="auto" w:fill="1C1C1C"/>
          </w:tcPr>
          <w:p>
            <w:pPr>
              <w:spacing w:before="60" w:after="60"/>
              <w:jc w:val="center"/>
            </w:pPr>
            <w:r>
              <w:rPr>
                <w:rFonts w:ascii="Calibri" w:hAnsi="Calibri"/>
                <w:b w:val="0"/>
                <w:i w:val="0"/>
                <w:color w:val="999999"/>
                <w:sz w:val="20"/>
              </w:rPr>
              <w:t>──────</w:t>
            </w:r>
          </w:p>
        </w:tc>
        <w:tc>
          <w:tcPr>
            <w:tcW w:type="dxa" w:w="1037"/>
            <w:tcBorders>
              <w:top w:val="none" w:sz="0" w:color="auto"/>
              <w:left w:val="none" w:sz="0" w:color="auto"/>
              <w:bottom w:val="none" w:sz="0" w:color="auto"/>
              <w:right w:val="none" w:sz="0" w:color="auto"/>
              <w:insideH w:val="none" w:sz="0" w:color="auto"/>
              <w:insideV w:val="none" w:sz="0" w:color="auto"/>
            </w:tcBorders>
            <w:shd w:val="clear" w:color="auto" w:fill="80CC00"/>
          </w:tcPr>
          <w:p>
            <w:pPr>
              <w:spacing w:before="60" w:after="60"/>
              <w:jc w:val="center"/>
            </w:pPr>
            <w:r>
              <w:rPr>
                <w:rFonts w:ascii="Calibri" w:hAnsi="Calibri"/>
                <w:b/>
                <w:i w:val="0"/>
                <w:color w:val="FFFFFF"/>
                <w:sz w:val="28"/>
              </w:rPr>
              <w:t>S4</w:t>
            </w:r>
          </w:p>
        </w:tc>
      </w:tr>
    </w:tbl>
    <w:p>
      <w:pPr>
        <w:spacing w:before="0" w:after="0"/>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48"/>
            <w:shd w:val="clear" w:color="auto" w:fill="F9F9F9"/>
            <w:tcBorders>
              <w:top w:val="single" w:sz="10" w:color="80CC00"/>
              <w:left w:val="none" w:sz="0" w:color="auto"/>
              <w:bottom w:val="none" w:sz="0" w:color="auto"/>
              <w:right w:val="none" w:sz="0" w:color="auto"/>
              <w:insideH w:val="none" w:sz="0" w:color="auto"/>
              <w:insideV w:val="none" w:sz="0" w:color="auto"/>
            </w:tcBorders>
            <w:vAlign w:val="top"/>
          </w:tcPr>
          <w:p>
            <w:pPr>
              <w:spacing w:before="80" w:after="40"/>
              <w:jc w:val="left"/>
            </w:pPr>
            <w:r>
              <w:rPr>
                <w:rFonts w:ascii="Calibri" w:hAnsi="Calibri"/>
                <w:b/>
                <w:i w:val="0"/>
                <w:color w:val="1C1C1C"/>
                <w:sz w:val="20"/>
              </w:rPr>
              <w:t>Activación del distribuidor</w:t>
            </w:r>
          </w:p>
          <w:p>
            <w:pPr>
              <w:spacing w:before="0" w:after="40"/>
              <w:ind w:left="144"/>
            </w:pPr>
            <w:r>
              <w:rPr>
                <w:rFonts w:ascii="Calibri" w:hAnsi="Calibri"/>
                <w:b w:val="0"/>
                <w:i w:val="0"/>
                <w:color w:val="666666"/>
                <w:sz w:val="17"/>
              </w:rPr>
              <w:t>▸  Reunión con Gerencia y Jefatura de Ventas</w:t>
            </w:r>
          </w:p>
          <w:p>
            <w:pPr>
              <w:spacing w:before="0" w:after="40"/>
              <w:ind w:left="144"/>
            </w:pPr>
            <w:r>
              <w:rPr>
                <w:rFonts w:ascii="Calibri" w:hAnsi="Calibri"/>
                <w:b w:val="0"/>
                <w:i w:val="0"/>
                <w:color w:val="666666"/>
                <w:sz w:val="17"/>
              </w:rPr>
              <w:t>▸  Presentar oferta + margen tendero + bono vendedor</w:t>
            </w:r>
          </w:p>
          <w:p>
            <w:pPr>
              <w:spacing w:before="0" w:after="40"/>
              <w:ind w:left="144"/>
            </w:pPr>
            <w:r>
              <w:rPr>
                <w:rFonts w:ascii="Calibri" w:hAnsi="Calibri"/>
                <w:b w:val="0"/>
                <w:i w:val="0"/>
                <w:color w:val="666666"/>
                <w:sz w:val="17"/>
              </w:rPr>
              <w:t>▸  Acordar metas de codificación por zona</w:t>
            </w:r>
          </w:p>
          <w:p>
            <w:pPr>
              <w:spacing w:before="0" w:after="40"/>
              <w:ind w:left="144"/>
            </w:pPr>
            <w:r>
              <w:rPr>
                <w:rFonts w:ascii="Calibri" w:hAnsi="Calibri"/>
                <w:b w:val="0"/>
                <w:i w:val="0"/>
                <w:color w:val="666666"/>
                <w:sz w:val="17"/>
              </w:rPr>
              <w:t>▸  Entregar kit de lanzamiento al distribuidor</w:t>
            </w:r>
          </w:p>
        </w:tc>
        <w:tc>
          <w:tcPr>
            <w:tcW w:type="dxa" w:w="2448"/>
            <w:shd w:val="clear" w:color="auto" w:fill="FFFFFF"/>
            <w:tcBorders>
              <w:top w:val="single" w:sz="10" w:color="80CC00"/>
              <w:left w:val="none" w:sz="0" w:color="auto"/>
              <w:bottom w:val="none" w:sz="0" w:color="auto"/>
              <w:right w:val="none" w:sz="0" w:color="auto"/>
              <w:insideH w:val="none" w:sz="0" w:color="auto"/>
              <w:insideV w:val="none" w:sz="0" w:color="auto"/>
            </w:tcBorders>
            <w:vAlign w:val="top"/>
          </w:tcPr>
          <w:p>
            <w:pPr>
              <w:spacing w:before="80" w:after="40"/>
              <w:jc w:val="left"/>
            </w:pPr>
            <w:r>
              <w:rPr>
                <w:rFonts w:ascii="Calibri" w:hAnsi="Calibri"/>
                <w:b/>
                <w:i w:val="0"/>
                <w:color w:val="1C1C1C"/>
                <w:sz w:val="20"/>
              </w:rPr>
              <w:t>Capacitación + kits a vendedores</w:t>
            </w:r>
          </w:p>
          <w:p>
            <w:pPr>
              <w:spacing w:before="0" w:after="40"/>
              <w:ind w:left="144"/>
            </w:pPr>
            <w:r>
              <w:rPr>
                <w:rFonts w:ascii="Calibri" w:hAnsi="Calibri"/>
                <w:b w:val="0"/>
                <w:i w:val="0"/>
                <w:color w:val="666666"/>
                <w:sz w:val="17"/>
              </w:rPr>
              <w:t>▸  Grupos de ~100 vendedores por zona (30 min)</w:t>
            </w:r>
          </w:p>
          <w:p>
            <w:pPr>
              <w:spacing w:before="0" w:after="40"/>
              <w:ind w:left="144"/>
            </w:pPr>
            <w:r>
              <w:rPr>
                <w:rFonts w:ascii="Calibri" w:hAnsi="Calibri"/>
                <w:b w:val="0"/>
                <w:i w:val="0"/>
                <w:color w:val="666666"/>
                <w:sz w:val="17"/>
              </w:rPr>
              <w:t>▸  Entregar kit: muestra + flyer A6 + QR video</w:t>
            </w:r>
          </w:p>
          <w:p>
            <w:pPr>
              <w:spacing w:before="0" w:after="40"/>
              <w:ind w:left="144"/>
            </w:pPr>
            <w:r>
              <w:rPr>
                <w:rFonts w:ascii="Calibri" w:hAnsi="Calibri"/>
                <w:b w:val="0"/>
                <w:i w:val="0"/>
                <w:color w:val="666666"/>
                <w:sz w:val="17"/>
              </w:rPr>
              <w:t>▸  Comunicar bono escalonado individual</w:t>
            </w:r>
          </w:p>
          <w:p>
            <w:pPr>
              <w:spacing w:before="0" w:after="40"/>
              <w:ind w:left="144"/>
            </w:pPr>
            <w:r>
              <w:rPr>
                <w:rFonts w:ascii="Calibri" w:hAnsi="Calibri"/>
                <w:b w:val="0"/>
                <w:i w:val="0"/>
                <w:color w:val="666666"/>
                <w:sz w:val="17"/>
              </w:rPr>
              <w:t>▸  Activar ranking en WhatsApp del grupo</w:t>
            </w:r>
          </w:p>
        </w:tc>
        <w:tc>
          <w:tcPr>
            <w:tcW w:type="dxa" w:w="2448"/>
            <w:shd w:val="clear" w:color="auto" w:fill="F9F9F9"/>
            <w:tcBorders>
              <w:top w:val="single" w:sz="10" w:color="80CC00"/>
              <w:left w:val="none" w:sz="0" w:color="auto"/>
              <w:bottom w:val="none" w:sz="0" w:color="auto"/>
              <w:right w:val="none" w:sz="0" w:color="auto"/>
              <w:insideH w:val="none" w:sz="0" w:color="auto"/>
              <w:insideV w:val="none" w:sz="0" w:color="auto"/>
            </w:tcBorders>
            <w:vAlign w:val="top"/>
          </w:tcPr>
          <w:p>
            <w:pPr>
              <w:spacing w:before="80" w:after="40"/>
              <w:jc w:val="left"/>
            </w:pPr>
            <w:r>
              <w:rPr>
                <w:rFonts w:ascii="Calibri" w:hAnsi="Calibri"/>
                <w:b/>
                <w:i w:val="0"/>
                <w:color w:val="1C1C1C"/>
                <w:sz w:val="20"/>
              </w:rPr>
              <w:t>Ejecución activa en campo</w:t>
            </w:r>
          </w:p>
          <w:p>
            <w:pPr>
              <w:spacing w:before="0" w:after="40"/>
              <w:ind w:left="144"/>
            </w:pPr>
            <w:r>
              <w:rPr>
                <w:rFonts w:ascii="Calibri" w:hAnsi="Calibri"/>
                <w:b w:val="0"/>
                <w:i w:val="0"/>
                <w:color w:val="666666"/>
                <w:sz w:val="17"/>
              </w:rPr>
              <w:t>▸  Dashboard semanal compartido con distribuidor</w:t>
            </w:r>
          </w:p>
          <w:p>
            <w:pPr>
              <w:spacing w:before="0" w:after="40"/>
              <w:ind w:left="144"/>
            </w:pPr>
            <w:r>
              <w:rPr>
                <w:rFonts w:ascii="Calibri" w:hAnsi="Calibri"/>
                <w:b w:val="0"/>
                <w:i w:val="0"/>
                <w:color w:val="666666"/>
                <w:sz w:val="17"/>
              </w:rPr>
              <w:t>▸  Ranking visible para todos los vendedores</w:t>
            </w:r>
          </w:p>
          <w:p>
            <w:pPr>
              <w:spacing w:before="0" w:after="40"/>
              <w:ind w:left="144"/>
            </w:pPr>
            <w:r>
              <w:rPr>
                <w:rFonts w:ascii="Calibri" w:hAnsi="Calibri"/>
                <w:b w:val="0"/>
                <w:i w:val="0"/>
                <w:color w:val="666666"/>
                <w:sz w:val="17"/>
              </w:rPr>
              <w:t>▸  Ejecutivo Ecuador: 2 seguimientos/semana</w:t>
            </w:r>
          </w:p>
          <w:p>
            <w:pPr>
              <w:spacing w:before="0" w:after="40"/>
              <w:ind w:left="144"/>
            </w:pPr>
            <w:r>
              <w:rPr>
                <w:rFonts w:ascii="Calibri" w:hAnsi="Calibri"/>
                <w:b w:val="0"/>
                <w:i w:val="0"/>
                <w:color w:val="666666"/>
                <w:sz w:val="17"/>
              </w:rPr>
              <w:t>▸  Mercaderistas apoyan instalación de exhibidores</w:t>
            </w:r>
          </w:p>
        </w:tc>
        <w:tc>
          <w:tcPr>
            <w:tcW w:type="dxa" w:w="2448"/>
            <w:shd w:val="clear" w:color="auto" w:fill="FFFFFF"/>
            <w:tcBorders>
              <w:top w:val="single" w:sz="10" w:color="80CC00"/>
              <w:left w:val="none" w:sz="0" w:color="auto"/>
              <w:bottom w:val="none" w:sz="0" w:color="auto"/>
              <w:right w:val="none" w:sz="0" w:color="auto"/>
              <w:insideH w:val="none" w:sz="0" w:color="auto"/>
              <w:insideV w:val="none" w:sz="0" w:color="auto"/>
            </w:tcBorders>
            <w:vAlign w:val="top"/>
          </w:tcPr>
          <w:p>
            <w:pPr>
              <w:spacing w:before="80" w:after="40"/>
              <w:jc w:val="left"/>
            </w:pPr>
            <w:r>
              <w:rPr>
                <w:rFonts w:ascii="Calibri" w:hAnsi="Calibri"/>
                <w:b/>
                <w:i w:val="0"/>
                <w:color w:val="1C1C1C"/>
                <w:sz w:val="20"/>
              </w:rPr>
              <w:t>Cierre y reconocimiento</w:t>
            </w:r>
          </w:p>
          <w:p>
            <w:pPr>
              <w:spacing w:before="0" w:after="40"/>
              <w:ind w:left="144"/>
            </w:pPr>
            <w:r>
              <w:rPr>
                <w:rFonts w:ascii="Calibri" w:hAnsi="Calibri"/>
                <w:b w:val="0"/>
                <w:i w:val="0"/>
                <w:color w:val="666666"/>
                <w:sz w:val="17"/>
              </w:rPr>
              <w:t>▸  Entrega de bonos a ganadores</w:t>
            </w:r>
          </w:p>
          <w:p>
            <w:pPr>
              <w:spacing w:before="0" w:after="40"/>
              <w:ind w:left="144"/>
            </w:pPr>
            <w:r>
              <w:rPr>
                <w:rFonts w:ascii="Calibri" w:hAnsi="Calibri"/>
                <w:b w:val="0"/>
                <w:i w:val="0"/>
                <w:color w:val="666666"/>
                <w:sz w:val="17"/>
              </w:rPr>
              <w:t>▸  Reconocimiento Top 10 en video / reunión grupal</w:t>
            </w:r>
          </w:p>
          <w:p>
            <w:pPr>
              <w:spacing w:before="0" w:after="40"/>
              <w:ind w:left="144"/>
            </w:pPr>
            <w:r>
              <w:rPr>
                <w:rFonts w:ascii="Calibri" w:hAnsi="Calibri"/>
                <w:b w:val="0"/>
                <w:i w:val="0"/>
                <w:color w:val="666666"/>
                <w:sz w:val="17"/>
              </w:rPr>
              <w:t>▸  Corte de codificaciones y cálculo de KPIs</w:t>
            </w:r>
          </w:p>
          <w:p>
            <w:pPr>
              <w:spacing w:before="0" w:after="40"/>
              <w:ind w:left="144"/>
            </w:pPr>
            <w:r>
              <w:rPr>
                <w:rFonts w:ascii="Calibri" w:hAnsi="Calibri"/>
                <w:b w:val="0"/>
                <w:i w:val="0"/>
                <w:color w:val="666666"/>
                <w:sz w:val="17"/>
              </w:rPr>
              <w:t>▸  Decisión de extensión del plan mes 2</w:t>
            </w:r>
          </w:p>
        </w:tc>
      </w:tr>
    </w:tbl>
    <w:p>
      <w:pPr>
        <w:spacing w:before="0" w:after="160"/>
      </w:pPr>
    </w:p>
    <w:p>
      <w:pPr>
        <w:spacing w:before="280" w:after="80"/>
        <w:pBdr>
          <w:bottom w:val="single" w:sz="10" w:color="80CC00"/>
        </w:pBdr>
      </w:pPr>
      <w:r>
        <w:rPr>
          <w:rFonts w:ascii="Calibri" w:hAnsi="Calibri"/>
          <w:b/>
          <w:i w:val="0"/>
          <w:color w:val="1C1C1C"/>
          <w:sz w:val="28"/>
        </w:rPr>
        <w:t>4. Bono Escalonado del Vendedor del Distribuidor</w:t>
      </w:r>
    </w:p>
    <w:p>
      <w:pPr>
        <w:spacing w:before="0" w:after="60"/>
      </w:pPr>
      <w:r>
        <w:rPr>
          <w:rFonts w:ascii="Calibri" w:hAnsi="Calibri"/>
          <w:b w:val="0"/>
          <w:i w:val="0"/>
          <w:color w:val="666666"/>
          <w:sz w:val="21"/>
        </w:rPr>
        <w:t>El vendedor necesita un interés propio para esforzarse más allá de su cuota habitual. El escalamiento es intencional: quien llega al nivel 1 tiene incentivo para alcanzar el 2.</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80CC00"/>
          </w:tcPr>
          <w:p>
            <w:pPr>
              <w:spacing w:before="60" w:after="60"/>
              <w:jc w:val="center"/>
            </w:pPr>
            <w:r>
              <w:rPr>
                <w:rFonts w:ascii="Calibri" w:hAnsi="Calibri"/>
                <w:b/>
                <w:i w:val="0"/>
                <w:color w:val="FFFFFF"/>
                <w:sz w:val="20"/>
              </w:rPr>
              <w:t>Nivel</w:t>
            </w:r>
          </w:p>
        </w:tc>
        <w:tc>
          <w:tcPr>
            <w:tcW w:type="dxa" w:w="3744"/>
            <w:shd w:val="clear" w:color="auto" w:fill="80CC00"/>
          </w:tcPr>
          <w:p>
            <w:pPr>
              <w:spacing w:before="60" w:after="60"/>
              <w:jc w:val="center"/>
            </w:pPr>
            <w:r>
              <w:rPr>
                <w:rFonts w:ascii="Calibri" w:hAnsi="Calibri"/>
                <w:b/>
                <w:i w:val="0"/>
                <w:color w:val="FFFFFF"/>
                <w:sz w:val="20"/>
              </w:rPr>
              <w:t>Tiendas codificadas en 4 semanas</w:t>
            </w:r>
          </w:p>
        </w:tc>
        <w:tc>
          <w:tcPr>
            <w:tcW w:type="dxa" w:w="3456"/>
            <w:shd w:val="clear" w:color="auto" w:fill="80CC00"/>
          </w:tcPr>
          <w:p>
            <w:pPr>
              <w:spacing w:before="60" w:after="60"/>
              <w:jc w:val="center"/>
            </w:pPr>
            <w:r>
              <w:rPr>
                <w:rFonts w:ascii="Calibri" w:hAnsi="Calibri"/>
                <w:b/>
                <w:i w:val="0"/>
                <w:color w:val="FFFFFF"/>
                <w:sz w:val="20"/>
              </w:rPr>
              <w:t>Beneficio</w:t>
            </w:r>
          </w:p>
        </w:tc>
      </w:tr>
      <w:tr>
        <w:tc>
          <w:tcPr>
            <w:tcW w:type="dxa" w:w="2592"/>
            <w:shd w:val="clear" w:color="auto" w:fill="F5F5F5"/>
          </w:tcPr>
          <w:p>
            <w:pPr>
              <w:spacing w:before="40" w:after="40"/>
            </w:pPr>
            <w:r>
              <w:rPr>
                <w:rFonts w:ascii="Calibri" w:hAnsi="Calibri"/>
                <w:b/>
                <w:i w:val="0"/>
                <w:color w:val="1C1C1C"/>
                <w:sz w:val="20"/>
              </w:rPr>
              <w:t>Nivel 1  —  Bronce</w:t>
            </w:r>
          </w:p>
        </w:tc>
        <w:tc>
          <w:tcPr>
            <w:tcW w:type="dxa" w:w="3744"/>
            <w:shd w:val="clear" w:color="auto" w:fill="F5F5F5"/>
          </w:tcPr>
          <w:p>
            <w:pPr>
              <w:spacing w:before="40" w:after="40"/>
            </w:pPr>
            <w:r>
              <w:rPr>
                <w:rFonts w:ascii="Calibri" w:hAnsi="Calibri"/>
                <w:b w:val="0"/>
                <w:i w:val="0"/>
                <w:color w:val="666666"/>
                <w:sz w:val="20"/>
              </w:rPr>
              <w:t>10 – 19 tiendas nuevas</w:t>
            </w:r>
          </w:p>
        </w:tc>
        <w:tc>
          <w:tcPr>
            <w:tcW w:type="dxa" w:w="3456"/>
            <w:shd w:val="clear" w:color="auto" w:fill="F5F5F5"/>
          </w:tcPr>
          <w:p>
            <w:pPr>
              <w:spacing w:before="40" w:after="40"/>
            </w:pPr>
            <w:r>
              <w:rPr>
                <w:rFonts w:ascii="Calibri" w:hAnsi="Calibri"/>
                <w:b w:val="0"/>
                <w:i w:val="0"/>
                <w:color w:val="666666"/>
                <w:sz w:val="20"/>
              </w:rPr>
              <w:t>Bono económico base</w:t>
            </w:r>
          </w:p>
        </w:tc>
      </w:tr>
      <w:tr>
        <w:tc>
          <w:tcPr>
            <w:tcW w:type="dxa" w:w="2592"/>
            <w:shd w:val="clear" w:color="auto" w:fill="FFFFFF"/>
          </w:tcPr>
          <w:p>
            <w:pPr>
              <w:spacing w:before="40" w:after="40"/>
            </w:pPr>
            <w:r>
              <w:rPr>
                <w:rFonts w:ascii="Calibri" w:hAnsi="Calibri"/>
                <w:b/>
                <w:i w:val="0"/>
                <w:color w:val="1C1C1C"/>
                <w:sz w:val="20"/>
              </w:rPr>
              <w:t>Nivel 2  —  Plata</w:t>
            </w:r>
          </w:p>
        </w:tc>
        <w:tc>
          <w:tcPr>
            <w:tcW w:type="dxa" w:w="3744"/>
            <w:shd w:val="clear" w:color="auto" w:fill="FFFFFF"/>
          </w:tcPr>
          <w:p>
            <w:pPr>
              <w:spacing w:before="40" w:after="40"/>
            </w:pPr>
            <w:r>
              <w:rPr>
                <w:rFonts w:ascii="Calibri" w:hAnsi="Calibri"/>
                <w:b w:val="0"/>
                <w:i w:val="0"/>
                <w:color w:val="666666"/>
                <w:sz w:val="20"/>
              </w:rPr>
              <w:t>20 – 34 tiendas nuevas</w:t>
            </w:r>
          </w:p>
        </w:tc>
        <w:tc>
          <w:tcPr>
            <w:tcW w:type="dxa" w:w="3456"/>
            <w:shd w:val="clear" w:color="auto" w:fill="FFFFFF"/>
          </w:tcPr>
          <w:p>
            <w:pPr>
              <w:spacing w:before="40" w:after="40"/>
            </w:pPr>
            <w:r>
              <w:rPr>
                <w:rFonts w:ascii="Calibri" w:hAnsi="Calibri"/>
                <w:b w:val="0"/>
                <w:i w:val="0"/>
                <w:color w:val="666666"/>
                <w:sz w:val="20"/>
              </w:rPr>
              <w:t>Bono aumentado + reconocimiento en grupo</w:t>
            </w:r>
          </w:p>
        </w:tc>
      </w:tr>
      <w:tr>
        <w:tc>
          <w:tcPr>
            <w:tcW w:type="dxa" w:w="2592"/>
            <w:shd w:val="clear" w:color="auto" w:fill="F5F5F5"/>
          </w:tcPr>
          <w:p>
            <w:pPr>
              <w:spacing w:before="40" w:after="40"/>
            </w:pPr>
            <w:r>
              <w:rPr>
                <w:rFonts w:ascii="Calibri" w:hAnsi="Calibri"/>
                <w:b/>
                <w:i w:val="0"/>
                <w:color w:val="1C1C1C"/>
                <w:sz w:val="20"/>
              </w:rPr>
              <w:t>Nivel 3  —  Oro</w:t>
            </w:r>
          </w:p>
        </w:tc>
        <w:tc>
          <w:tcPr>
            <w:tcW w:type="dxa" w:w="3744"/>
            <w:shd w:val="clear" w:color="auto" w:fill="F5F5F5"/>
          </w:tcPr>
          <w:p>
            <w:pPr>
              <w:spacing w:before="40" w:after="40"/>
            </w:pPr>
            <w:r>
              <w:rPr>
                <w:rFonts w:ascii="Calibri" w:hAnsi="Calibri"/>
                <w:b w:val="0"/>
                <w:i w:val="0"/>
                <w:color w:val="666666"/>
                <w:sz w:val="20"/>
              </w:rPr>
              <w:t>35+ tiendas nuevas</w:t>
            </w:r>
          </w:p>
        </w:tc>
        <w:tc>
          <w:tcPr>
            <w:tcW w:type="dxa" w:w="3456"/>
            <w:shd w:val="clear" w:color="auto" w:fill="F5F5F5"/>
          </w:tcPr>
          <w:p>
            <w:pPr>
              <w:spacing w:before="40" w:after="40"/>
            </w:pPr>
            <w:r>
              <w:rPr>
                <w:rFonts w:ascii="Calibri" w:hAnsi="Calibri"/>
                <w:b w:val="0"/>
                <w:i w:val="0"/>
                <w:color w:val="666666"/>
                <w:sz w:val="20"/>
              </w:rPr>
              <w:t>Bono máximo + mención pública con el equipo Super</w:t>
            </w:r>
          </w:p>
        </w:tc>
      </w:tr>
    </w:tbl>
    <w:p>
      <w:pPr>
        <w:spacing w:before="0" w:after="80"/>
      </w:pPr>
    </w:p>
    <w:p>
      <w:pPr>
        <w:spacing w:before="280" w:after="80"/>
        <w:pBdr>
          <w:bottom w:val="single" w:sz="10" w:color="80CC00"/>
        </w:pBdr>
      </w:pPr>
      <w:r>
        <w:rPr>
          <w:rFonts w:ascii="Calibri" w:hAnsi="Calibri"/>
          <w:b/>
          <w:i w:val="0"/>
          <w:color w:val="1C1C1C"/>
          <w:sz w:val="28"/>
        </w:rPr>
        <w:t>5. Indicadores de Éxito</w:t>
      </w:r>
    </w:p>
    <w:p>
      <w:pPr>
        <w:spacing w:before="0" w:after="60"/>
      </w:pPr>
      <w:r>
        <w:rPr>
          <w:rFonts w:ascii="Calibri" w:hAnsi="Calibri"/>
          <w:b w:val="0"/>
          <w:i w:val="0"/>
          <w:color w:val="666666"/>
          <w:sz w:val="21"/>
        </w:rPr>
        <w:t>Los KPIs están anclados al universo real del distribuidor. Con 785 vendedores cubriendo un promedio estimado de 40 tiendas/ruta, el universo potencial supera las 30.000 tiendas. La meta del plan para la semana 4 es conservadora pero exigente: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68"/>
            <w:shd w:val="clear" w:color="auto" w:fill="1C1C1C"/>
          </w:tcPr>
          <w:p>
            <w:pPr>
              <w:spacing w:before="60" w:after="60"/>
              <w:jc w:val="center"/>
            </w:pPr>
            <w:r>
              <w:rPr>
                <w:rFonts w:ascii="Calibri" w:hAnsi="Calibri"/>
                <w:b/>
                <w:i w:val="0"/>
                <w:color w:val="FFFFFF"/>
                <w:sz w:val="20"/>
              </w:rPr>
              <w:t>Indicador</w:t>
            </w:r>
          </w:p>
        </w:tc>
        <w:tc>
          <w:tcPr>
            <w:tcW w:type="dxa" w:w="1728"/>
            <w:shd w:val="clear" w:color="auto" w:fill="1C1C1C"/>
          </w:tcPr>
          <w:p>
            <w:pPr>
              <w:spacing w:before="60" w:after="60"/>
              <w:jc w:val="center"/>
            </w:pPr>
            <w:r>
              <w:rPr>
                <w:rFonts w:ascii="Calibri" w:hAnsi="Calibri"/>
                <w:b/>
                <w:i w:val="0"/>
                <w:color w:val="FFFFFF"/>
                <w:sz w:val="20"/>
              </w:rPr>
              <w:t>Línea base</w:t>
            </w:r>
          </w:p>
        </w:tc>
        <w:tc>
          <w:tcPr>
            <w:tcW w:type="dxa" w:w="2304"/>
            <w:shd w:val="clear" w:color="auto" w:fill="1C1C1C"/>
          </w:tcPr>
          <w:p>
            <w:pPr>
              <w:spacing w:before="60" w:after="60"/>
              <w:jc w:val="center"/>
            </w:pPr>
            <w:r>
              <w:rPr>
                <w:rFonts w:ascii="Calibri" w:hAnsi="Calibri"/>
                <w:b/>
                <w:i w:val="0"/>
                <w:color w:val="FFFFFF"/>
                <w:sz w:val="20"/>
              </w:rPr>
              <w:t>Meta S4</w:t>
            </w:r>
          </w:p>
        </w:tc>
        <w:tc>
          <w:tcPr>
            <w:tcW w:type="dxa" w:w="2664"/>
            <w:shd w:val="clear" w:color="auto" w:fill="1C1C1C"/>
          </w:tcPr>
          <w:p>
            <w:pPr>
              <w:spacing w:before="60" w:after="60"/>
              <w:jc w:val="center"/>
            </w:pPr>
            <w:r>
              <w:rPr>
                <w:rFonts w:ascii="Calibri" w:hAnsi="Calibri"/>
                <w:b/>
                <w:i w:val="0"/>
                <w:color w:val="FFFFFF"/>
                <w:sz w:val="20"/>
              </w:rPr>
              <w:t>Fuente de verificación</w:t>
            </w:r>
          </w:p>
        </w:tc>
      </w:tr>
      <w:tr>
        <w:tc>
          <w:tcPr>
            <w:tcW w:type="dxa" w:w="3168"/>
            <w:shd w:val="clear" w:color="auto" w:fill="F5F5F5"/>
          </w:tcPr>
          <w:p>
            <w:pPr>
              <w:spacing w:before="40" w:after="40"/>
            </w:pPr>
            <w:r>
              <w:rPr>
                <w:rFonts w:ascii="Calibri" w:hAnsi="Calibri"/>
                <w:b/>
                <w:i w:val="0"/>
                <w:color w:val="1C1C1C"/>
                <w:sz w:val="20"/>
              </w:rPr>
              <w:t>Tiendas con Edición Estelar codificada</w:t>
            </w:r>
          </w:p>
        </w:tc>
        <w:tc>
          <w:tcPr>
            <w:tcW w:type="dxa" w:w="1728"/>
            <w:shd w:val="clear" w:color="auto" w:fill="F5F5F5"/>
          </w:tcPr>
          <w:p>
            <w:pPr>
              <w:spacing w:before="40" w:after="40"/>
            </w:pPr>
            <w:r>
              <w:rPr>
                <w:rFonts w:ascii="Calibri" w:hAnsi="Calibri"/>
                <w:b w:val="0"/>
                <w:i w:val="0"/>
                <w:color w:val="666666"/>
                <w:sz w:val="20"/>
              </w:rPr>
              <w:t>0 tiendas</w:t>
            </w:r>
          </w:p>
        </w:tc>
        <w:tc>
          <w:tcPr>
            <w:tcW w:type="dxa" w:w="2304"/>
            <w:shd w:val="clear" w:color="auto" w:fill="F5F5F5"/>
          </w:tcPr>
          <w:p>
            <w:pPr>
              <w:spacing w:before="40" w:after="40"/>
            </w:pPr>
            <w:r>
              <w:rPr>
                <w:rFonts w:ascii="Calibri" w:hAnsi="Calibri"/>
                <w:b w:val="0"/>
                <w:i w:val="0"/>
                <w:color w:val="666666"/>
                <w:sz w:val="20"/>
              </w:rPr>
              <w:t>≥ 30 % del universo por zona activa</w:t>
            </w:r>
          </w:p>
        </w:tc>
        <w:tc>
          <w:tcPr>
            <w:tcW w:type="dxa" w:w="2664"/>
            <w:shd w:val="clear" w:color="auto" w:fill="F5F5F5"/>
          </w:tcPr>
          <w:p>
            <w:pPr>
              <w:spacing w:before="40" w:after="40"/>
            </w:pPr>
            <w:r>
              <w:rPr>
                <w:rFonts w:ascii="Calibri" w:hAnsi="Calibri"/>
                <w:b w:val="0"/>
                <w:i w:val="0"/>
                <w:color w:val="666666"/>
                <w:sz w:val="20"/>
              </w:rPr>
              <w:t>BBDD del distribuidor cruzada con facturas Super</w:t>
            </w:r>
          </w:p>
        </w:tc>
      </w:tr>
      <w:tr>
        <w:tc>
          <w:tcPr>
            <w:tcW w:type="dxa" w:w="3168"/>
            <w:shd w:val="clear" w:color="auto" w:fill="FFFFFF"/>
          </w:tcPr>
          <w:p>
            <w:pPr>
              <w:spacing w:before="40" w:after="40"/>
            </w:pPr>
            <w:r>
              <w:rPr>
                <w:rFonts w:ascii="Calibri" w:hAnsi="Calibri"/>
                <w:b/>
                <w:i w:val="0"/>
                <w:color w:val="1C1C1C"/>
                <w:sz w:val="20"/>
              </w:rPr>
              <w:t>Vendedores activos en la campaña</w:t>
            </w:r>
          </w:p>
        </w:tc>
        <w:tc>
          <w:tcPr>
            <w:tcW w:type="dxa" w:w="1728"/>
            <w:shd w:val="clear" w:color="auto" w:fill="FFFFFF"/>
          </w:tcPr>
          <w:p>
            <w:pPr>
              <w:spacing w:before="40" w:after="40"/>
            </w:pPr>
            <w:r>
              <w:rPr>
                <w:rFonts w:ascii="Calibri" w:hAnsi="Calibri"/>
                <w:b w:val="0"/>
                <w:i w:val="0"/>
                <w:color w:val="666666"/>
                <w:sz w:val="20"/>
              </w:rPr>
              <w:t>No aplica</w:t>
            </w:r>
          </w:p>
        </w:tc>
        <w:tc>
          <w:tcPr>
            <w:tcW w:type="dxa" w:w="2304"/>
            <w:shd w:val="clear" w:color="auto" w:fill="FFFFFF"/>
          </w:tcPr>
          <w:p>
            <w:pPr>
              <w:spacing w:before="40" w:after="40"/>
            </w:pPr>
            <w:r>
              <w:rPr>
                <w:rFonts w:ascii="Calibri" w:hAnsi="Calibri"/>
                <w:b w:val="0"/>
                <w:i w:val="0"/>
                <w:color w:val="666666"/>
                <w:sz w:val="20"/>
              </w:rPr>
              <w:t>≥ 75 % de los 785</w:t>
            </w:r>
          </w:p>
        </w:tc>
        <w:tc>
          <w:tcPr>
            <w:tcW w:type="dxa" w:w="2664"/>
            <w:shd w:val="clear" w:color="auto" w:fill="FFFFFF"/>
          </w:tcPr>
          <w:p>
            <w:pPr>
              <w:spacing w:before="40" w:after="40"/>
            </w:pPr>
            <w:r>
              <w:rPr>
                <w:rFonts w:ascii="Calibri" w:hAnsi="Calibri"/>
                <w:b w:val="0"/>
                <w:i w:val="0"/>
                <w:color w:val="666666"/>
                <w:sz w:val="20"/>
              </w:rPr>
              <w:t>Reporte semanal del distribuidor</w:t>
            </w:r>
          </w:p>
        </w:tc>
      </w:tr>
      <w:tr>
        <w:tc>
          <w:tcPr>
            <w:tcW w:type="dxa" w:w="3168"/>
            <w:shd w:val="clear" w:color="auto" w:fill="F5F5F5"/>
          </w:tcPr>
          <w:p>
            <w:pPr>
              <w:spacing w:before="40" w:after="40"/>
            </w:pPr>
            <w:r>
              <w:rPr>
                <w:rFonts w:ascii="Calibri" w:hAnsi="Calibri"/>
                <w:b/>
                <w:i w:val="0"/>
                <w:color w:val="1C1C1C"/>
                <w:sz w:val="20"/>
              </w:rPr>
              <w:t>Tenderos con reposición antes de día 15</w:t>
            </w:r>
          </w:p>
        </w:tc>
        <w:tc>
          <w:tcPr>
            <w:tcW w:type="dxa" w:w="1728"/>
            <w:shd w:val="clear" w:color="auto" w:fill="F5F5F5"/>
          </w:tcPr>
          <w:p>
            <w:pPr>
              <w:spacing w:before="40" w:after="40"/>
            </w:pPr>
            <w:r>
              <w:rPr>
                <w:rFonts w:ascii="Calibri" w:hAnsi="Calibri"/>
                <w:b w:val="0"/>
                <w:i w:val="0"/>
                <w:color w:val="666666"/>
                <w:sz w:val="20"/>
              </w:rPr>
              <w:t>No aplica</w:t>
            </w:r>
          </w:p>
        </w:tc>
        <w:tc>
          <w:tcPr>
            <w:tcW w:type="dxa" w:w="2304"/>
            <w:shd w:val="clear" w:color="auto" w:fill="F5F5F5"/>
          </w:tcPr>
          <w:p>
            <w:pPr>
              <w:spacing w:before="40" w:after="40"/>
            </w:pPr>
            <w:r>
              <w:rPr>
                <w:rFonts w:ascii="Calibri" w:hAnsi="Calibri"/>
                <w:b w:val="0"/>
                <w:i w:val="0"/>
                <w:color w:val="666666"/>
                <w:sz w:val="20"/>
              </w:rPr>
              <w:t>≥ 25 % de quienes codificaron</w:t>
            </w:r>
          </w:p>
        </w:tc>
        <w:tc>
          <w:tcPr>
            <w:tcW w:type="dxa" w:w="2664"/>
            <w:shd w:val="clear" w:color="auto" w:fill="F5F5F5"/>
          </w:tcPr>
          <w:p>
            <w:pPr>
              <w:spacing w:before="40" w:after="40"/>
            </w:pPr>
            <w:r>
              <w:rPr>
                <w:rFonts w:ascii="Calibri" w:hAnsi="Calibri"/>
                <w:b w:val="0"/>
                <w:i w:val="0"/>
                <w:color w:val="666666"/>
                <w:sz w:val="20"/>
              </w:rPr>
              <w:t>Segunda orden registrada en distribuidor</w:t>
            </w:r>
          </w:p>
        </w:tc>
      </w:tr>
      <w:tr>
        <w:tc>
          <w:tcPr>
            <w:tcW w:type="dxa" w:w="3168"/>
            <w:shd w:val="clear" w:color="auto" w:fill="FFFFFF"/>
          </w:tcPr>
          <w:p>
            <w:pPr>
              <w:spacing w:before="40" w:after="40"/>
            </w:pPr>
            <w:r>
              <w:rPr>
                <w:rFonts w:ascii="Calibri" w:hAnsi="Calibri"/>
                <w:b/>
                <w:i w:val="0"/>
                <w:color w:val="1C1C1C"/>
                <w:sz w:val="20"/>
              </w:rPr>
              <w:t>Exhibidores instalados</w:t>
            </w:r>
          </w:p>
        </w:tc>
        <w:tc>
          <w:tcPr>
            <w:tcW w:type="dxa" w:w="1728"/>
            <w:shd w:val="clear" w:color="auto" w:fill="FFFFFF"/>
          </w:tcPr>
          <w:p>
            <w:pPr>
              <w:spacing w:before="40" w:after="40"/>
            </w:pPr>
            <w:r>
              <w:rPr>
                <w:rFonts w:ascii="Calibri" w:hAnsi="Calibri"/>
                <w:b w:val="0"/>
                <w:i w:val="0"/>
                <w:color w:val="666666"/>
                <w:sz w:val="20"/>
              </w:rPr>
              <w:t>0</w:t>
            </w:r>
          </w:p>
        </w:tc>
        <w:tc>
          <w:tcPr>
            <w:tcW w:type="dxa" w:w="2304"/>
            <w:shd w:val="clear" w:color="auto" w:fill="FFFFFF"/>
          </w:tcPr>
          <w:p>
            <w:pPr>
              <w:spacing w:before="40" w:after="40"/>
            </w:pPr>
            <w:r>
              <w:rPr>
                <w:rFonts w:ascii="Calibri" w:hAnsi="Calibri"/>
                <w:b w:val="0"/>
                <w:i w:val="0"/>
                <w:color w:val="666666"/>
                <w:sz w:val="20"/>
              </w:rPr>
              <w:t>200 (límite del incentivo)</w:t>
            </w:r>
          </w:p>
        </w:tc>
        <w:tc>
          <w:tcPr>
            <w:tcW w:type="dxa" w:w="2664"/>
            <w:shd w:val="clear" w:color="auto" w:fill="FFFFFF"/>
          </w:tcPr>
          <w:p>
            <w:pPr>
              <w:spacing w:before="40" w:after="40"/>
            </w:pPr>
            <w:r>
              <w:rPr>
                <w:rFonts w:ascii="Calibri" w:hAnsi="Calibri"/>
                <w:b w:val="0"/>
                <w:i w:val="0"/>
                <w:color w:val="666666"/>
                <w:sz w:val="20"/>
              </w:rPr>
              <w:t>Foto + registro mercaderista</w:t>
            </w:r>
          </w:p>
        </w:tc>
      </w:tr>
      <w:tr>
        <w:tc>
          <w:tcPr>
            <w:tcW w:type="dxa" w:w="3168"/>
            <w:shd w:val="clear" w:color="auto" w:fill="F5F5F5"/>
          </w:tcPr>
          <w:p>
            <w:pPr>
              <w:spacing w:before="40" w:after="40"/>
            </w:pPr>
            <w:r>
              <w:rPr>
                <w:rFonts w:ascii="Calibri" w:hAnsi="Calibri"/>
                <w:b/>
                <w:i w:val="0"/>
                <w:color w:val="1C1C1C"/>
                <w:sz w:val="20"/>
              </w:rPr>
              <w:t>Cobertura total acumulada</w:t>
            </w:r>
          </w:p>
        </w:tc>
        <w:tc>
          <w:tcPr>
            <w:tcW w:type="dxa" w:w="1728"/>
            <w:shd w:val="clear" w:color="auto" w:fill="F5F5F5"/>
          </w:tcPr>
          <w:p>
            <w:pPr>
              <w:spacing w:before="40" w:after="40"/>
            </w:pPr>
            <w:r>
              <w:rPr>
                <w:rFonts w:ascii="Calibri" w:hAnsi="Calibri"/>
                <w:b w:val="0"/>
                <w:i w:val="0"/>
                <w:color w:val="666666"/>
                <w:sz w:val="20"/>
              </w:rPr>
              <w:t>Línea base actual del distribuidor</w:t>
            </w:r>
          </w:p>
        </w:tc>
        <w:tc>
          <w:tcPr>
            <w:tcW w:type="dxa" w:w="2304"/>
            <w:shd w:val="clear" w:color="auto" w:fill="F5F5F5"/>
          </w:tcPr>
          <w:p>
            <w:pPr>
              <w:spacing w:before="40" w:after="40"/>
            </w:pPr>
            <w:r>
              <w:rPr>
                <w:rFonts w:ascii="Calibri" w:hAnsi="Calibri"/>
                <w:b w:val="0"/>
                <w:i w:val="0"/>
                <w:color w:val="666666"/>
                <w:sz w:val="20"/>
              </w:rPr>
              <w:t>Avance ≥ 5 pp sobre cobertura previa</w:t>
            </w:r>
          </w:p>
        </w:tc>
        <w:tc>
          <w:tcPr>
            <w:tcW w:type="dxa" w:w="2664"/>
            <w:shd w:val="clear" w:color="auto" w:fill="F5F5F5"/>
          </w:tcPr>
          <w:p>
            <w:pPr>
              <w:spacing w:before="40" w:after="40"/>
            </w:pPr>
            <w:r>
              <w:rPr>
                <w:rFonts w:ascii="Calibri" w:hAnsi="Calibri"/>
                <w:b w:val="0"/>
                <w:i w:val="0"/>
                <w:color w:val="666666"/>
                <w:sz w:val="20"/>
              </w:rPr>
              <w:t>Informe mensual de cobertura</w:t>
            </w:r>
          </w:p>
        </w:tc>
      </w:tr>
    </w:tbl>
    <w:p>
      <w:pPr>
        <w:spacing w:before="0" w:after="80"/>
      </w:pPr>
    </w:p>
    <w:p>
      <w:pPr>
        <w:spacing w:before="0" w:after="60"/>
        <w:ind w:left="288"/>
      </w:pPr>
      <w:r>
        <w:rPr>
          <w:rFonts w:ascii="Calibri" w:hAnsi="Calibri"/>
          <w:b w:val="0"/>
          <w:i/>
          <w:color w:val="1C1C1C"/>
          <w:sz w:val="20"/>
        </w:rPr>
        <w:t>▸  Los KPIs se revisan semanalmente — no al final. Un indicador que no mejora en S2 activa un plan de refuerzo inmediato (refuerzo de argumentario o incremento temporal del bono).</w:t>
      </w:r>
    </w:p>
    <w:p>
      <w:pPr>
        <w:spacing w:before="280" w:after="80"/>
        <w:pBdr>
          <w:bottom w:val="single" w:sz="10" w:color="80CC00"/>
        </w:pBdr>
      </w:pPr>
      <w:r>
        <w:rPr>
          <w:rFonts w:ascii="Calibri" w:hAnsi="Calibri"/>
          <w:b/>
          <w:i w:val="0"/>
          <w:color w:val="1C1C1C"/>
          <w:sz w:val="28"/>
        </w:rPr>
        <w:t>6. Resumen Ejecutivo</w:t>
      </w:r>
    </w:p>
    <w:p>
      <w:pPr>
        <w:spacing w:before="160" w:after="0"/>
        <w:shd w:val="clear" w:color="auto" w:fill="80CC00"/>
      </w:pPr>
      <w:r>
        <w:rPr>
          <w:rFonts w:ascii="Calibri" w:hAnsi="Calibri"/>
          <w:b/>
          <w:i w:val="0"/>
          <w:color w:val="FFFFFF"/>
          <w:sz w:val="21"/>
        </w:rPr>
        <w:t xml:space="preserve">  LA OFERTA EN UNA LÍNEA</w:t>
      </w:r>
    </w:p>
    <w:p>
      <w:pPr>
        <w:spacing w:before="0" w:after="20"/>
        <w:ind w:left="144"/>
        <w:shd w:val="clear" w:color="auto" w:fill="F0FFCC"/>
      </w:pPr>
      <w:r>
        <w:rPr>
          <w:rFonts w:ascii="Calibri" w:hAnsi="Calibri"/>
          <w:b w:val="0"/>
          <w:i w:val="0"/>
          <w:color w:val="1C1C1C"/>
          <w:sz w:val="20"/>
        </w:rPr>
        <w:t xml:space="preserve">  Entrada fácil (48 und + 12 % dcto + exhibidor)  →  beneficio inmediato (1×12 + sticker + sorteo)</w:t>
      </w:r>
    </w:p>
    <w:p>
      <w:pPr>
        <w:spacing w:before="0" w:after="20"/>
        <w:ind w:left="144"/>
        <w:shd w:val="clear" w:color="auto" w:fill="F0FFCC"/>
      </w:pPr>
      <w:r>
        <w:rPr>
          <w:rFonts w:ascii="Calibri" w:hAnsi="Calibri"/>
          <w:b w:val="0"/>
          <w:i w:val="0"/>
          <w:color w:val="1C1C1C"/>
          <w:sz w:val="20"/>
        </w:rPr>
        <w:t xml:space="preserve">  Recompra acelerada (5 % dcto &lt; 15 días)  →  fidelización (Estrella Constante a 3 compras)</w:t>
      </w:r>
    </w:p>
    <w:p>
      <w:pPr>
        <w:spacing w:before="0" w:after="120"/>
      </w:pPr>
    </w:p>
    <w:p>
      <w:pPr>
        <w:spacing w:before="160" w:after="0"/>
        <w:shd w:val="clear" w:color="auto" w:fill="80CC00"/>
      </w:pPr>
      <w:r>
        <w:rPr>
          <w:rFonts w:ascii="Calibri" w:hAnsi="Calibri"/>
          <w:b/>
          <w:i w:val="0"/>
          <w:color w:val="FFFFFF"/>
          <w:sz w:val="21"/>
        </w:rPr>
        <w:t xml:space="preserve">  LA LLEGADA A 785 VENDEDORES</w:t>
      </w:r>
    </w:p>
    <w:p>
      <w:pPr>
        <w:spacing w:before="0" w:after="20"/>
        <w:ind w:left="144"/>
        <w:shd w:val="clear" w:color="auto" w:fill="F0FFCC"/>
      </w:pPr>
      <w:r>
        <w:rPr>
          <w:rFonts w:ascii="Calibri" w:hAnsi="Calibri"/>
          <w:b w:val="0"/>
          <w:i w:val="0"/>
          <w:color w:val="1C1C1C"/>
          <w:sz w:val="20"/>
        </w:rPr>
        <w:t xml:space="preserve">  S0: Cúpula convencida con kit + metas acordadas por zona</w:t>
      </w:r>
    </w:p>
    <w:p>
      <w:pPr>
        <w:spacing w:before="0" w:after="20"/>
        <w:ind w:left="144"/>
        <w:shd w:val="clear" w:color="auto" w:fill="F0FFCC"/>
      </w:pPr>
      <w:r>
        <w:rPr>
          <w:rFonts w:ascii="Calibri" w:hAnsi="Calibri"/>
          <w:b w:val="0"/>
          <w:i w:val="0"/>
          <w:color w:val="1C1C1C"/>
          <w:sz w:val="20"/>
        </w:rPr>
        <w:t xml:space="preserve">  S1: Capacitación grupal (30 min) + kit individual + bono escalonado activado</w:t>
      </w:r>
    </w:p>
    <w:p>
      <w:pPr>
        <w:spacing w:before="0" w:after="20"/>
        <w:ind w:left="144"/>
        <w:shd w:val="clear" w:color="auto" w:fill="F0FFCC"/>
      </w:pPr>
      <w:r>
        <w:rPr>
          <w:rFonts w:ascii="Calibri" w:hAnsi="Calibri"/>
          <w:b w:val="0"/>
          <w:i w:val="0"/>
          <w:color w:val="1C1C1C"/>
          <w:sz w:val="20"/>
        </w:rPr>
        <w:t xml:space="preserve">  S2–S3: Dashboard semanal + ranking WhatsApp + seguimiento ejecutivo 2×/semana</w:t>
      </w:r>
    </w:p>
    <w:p>
      <w:pPr>
        <w:spacing w:before="0" w:after="20"/>
        <w:ind w:left="144"/>
        <w:shd w:val="clear" w:color="auto" w:fill="F0FFCC"/>
      </w:pPr>
      <w:r>
        <w:rPr>
          <w:rFonts w:ascii="Calibri" w:hAnsi="Calibri"/>
          <w:b w:val="0"/>
          <w:i w:val="0"/>
          <w:color w:val="1C1C1C"/>
          <w:sz w:val="20"/>
        </w:rPr>
        <w:t xml:space="preserve">  S4: Entrega de bonos + reconocimiento Top 10 + decisión de extensión mes 2</w:t>
      </w:r>
    </w:p>
    <w:p>
      <w:pPr>
        <w:spacing w:before="0" w:after="120"/>
      </w:pPr>
    </w:p>
    <w:p>
      <w:pPr>
        <w:spacing w:before="80" w:after="120"/>
        <w:ind w:left="144"/>
        <w:shd w:val="clear" w:color="auto" w:fill="1C1C1C"/>
      </w:pPr>
      <w:r>
        <w:rPr>
          <w:rFonts w:ascii="Calibri" w:hAnsi="Calibri"/>
          <w:b w:val="0"/>
          <w:i/>
          <w:color w:val="FFFFFF"/>
          <w:sz w:val="21"/>
        </w:rPr>
        <w:t xml:space="preserve">  La ventaja más grande de esta campaña es que el trabajo de construcción de marca ya está hecho. El único trabajo pendiente es que ninguna tienda quede sin la Edición Estelar por falta de visita, argumento o disposición del vendedor.</w:t>
      </w:r>
    </w:p>
    <w:p>
      <w:pPr>
        <w:spacing w:before="280" w:after="0"/>
        <w:jc w:val="center"/>
      </w:pPr>
      <w:r>
        <w:rPr>
          <w:rFonts w:ascii="Calibri" w:hAnsi="Calibri"/>
          <w:b w:val="0"/>
          <w:i/>
          <w:color w:val="999999"/>
          <w:sz w:val="17"/>
        </w:rPr>
        <w:t>Super de Alimentos  ·  Assessment Analista Trade Marketing  ·  Mariana Montejo  ·  Mayo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