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1C1C1C"/>
      </w:pPr>
      <w:r>
        <w:rPr>
          <w:rFonts w:ascii="Calibri" w:hAnsi="Calibri"/>
          <w:b w:val="0"/>
          <w:i/>
          <w:color w:val="999999"/>
          <w:sz w:val="18"/>
        </w:rPr>
        <w:t xml:space="preserve">  Super de Alimentos  ·  Trade Marketing</w:t>
      </w:r>
    </w:p>
    <w:p>
      <w:pPr>
        <w:spacing w:before="0" w:after="40"/>
        <w:shd w:val="clear" w:color="auto" w:fill="1C1C1C"/>
      </w:pPr>
      <w:r>
        <w:rPr>
          <w:rFonts w:ascii="Calibri" w:hAnsi="Calibri"/>
          <w:b/>
          <w:i w:val="0"/>
          <w:color w:val="FFFFFF"/>
          <w:sz w:val="44"/>
        </w:rPr>
        <w:t xml:space="preserve">  🌟  OFERTA DE CODIFICACIÓN</w:t>
      </w:r>
    </w:p>
    <w:p>
      <w:pPr>
        <w:spacing w:before="0" w:after="0"/>
        <w:shd w:val="clear" w:color="auto" w:fill="1C1C1C"/>
      </w:pPr>
      <w:r>
        <w:rPr>
          <w:rFonts w:ascii="Calibri" w:hAnsi="Calibri"/>
          <w:b w:val="0"/>
          <w:i w:val="0"/>
          <w:color w:val="AAFF00"/>
          <w:sz w:val="28"/>
        </w:rPr>
        <w:t xml:space="preserve">  Trululu Nanos — Edición Estelar  |  Ecuador  🇪🇨</w:t>
      </w:r>
    </w:p>
    <w:p>
      <w:pPr>
        <w:spacing w:before="0" w:after="80"/>
        <w:shd w:val="clear" w:color="auto" w:fill="80CC00"/>
      </w:pPr>
      <w:r>
        <w:rPr>
          <w:rFonts w:ascii="Calibri" w:hAnsi="Calibri"/>
          <w:b w:val="0"/>
          <w:i w:val="0"/>
          <w:color w:val="FFFFFF"/>
          <w:sz w:val="19"/>
        </w:rPr>
        <w:t xml:space="preserve">  Estrategia para el Gerente de Trade Marketing  ·  Mayo 2026</w:t>
      </w:r>
    </w:p>
    <w:p>
      <w:pPr>
        <w:spacing w:after="80"/>
      </w:pPr>
    </w:p>
    <w:p>
      <w:pPr>
        <w:spacing w:before="280" w:after="80"/>
        <w:pBdr>
          <w:bottom w:val="single" w:sz="12" w:color="80CC00"/>
        </w:pBdr>
      </w:pPr>
      <w:r>
        <w:rPr>
          <w:rFonts w:ascii="Calibri" w:hAnsi="Calibri"/>
          <w:b/>
          <w:i w:val="0"/>
          <w:color w:val="1C1C1C"/>
          <w:sz w:val="30"/>
        </w:rPr>
        <w:t>1. Lectura Estratégica del Contexto</w:t>
      </w:r>
    </w:p>
    <w:p>
      <w:pPr>
        <w:spacing w:before="0" w:after="60"/>
      </w:pPr>
      <w:r>
        <w:rPr>
          <w:rFonts w:ascii="Calibri" w:hAnsi="Calibri"/>
          <w:b w:val="0"/>
          <w:i w:val="0"/>
          <w:color w:val="666666"/>
          <w:sz w:val="21"/>
        </w:rPr>
        <w:t>Antes de construir cualquier oferta, el contexto entrega tres ventajas competitivas que deben orientar cada decisión táctica:</w:t>
      </w:r>
    </w:p>
    <w:p>
      <w:pPr>
        <w:spacing w:after="60"/>
      </w:pPr>
    </w:p>
    <w:tbl>
      <w:tblPr>
        <w:tblStyle w:val="TableGrid"/>
        <w:tblW w:type="auto" w:w="0"/>
        <w:jc w:val="center"/>
        <w:tblLook w:firstColumn="1" w:firstRow="1" w:lastColumn="0" w:lastRow="0" w:noHBand="0" w:noVBand="1" w:val="04A0"/>
      </w:tblPr>
      <w:tblGrid>
        <w:gridCol w:w="4873"/>
        <w:gridCol w:w="4873"/>
      </w:tblGrid>
      <w:tr>
        <w:tc>
          <w:tcPr>
            <w:tcW w:type="dxa" w:w="3600"/>
            <w:shd w:val="clear" w:color="auto" w:fill="1C1C1C"/>
          </w:tcPr>
          <w:p>
            <w:pPr>
              <w:spacing w:before="60" w:after="60"/>
              <w:jc w:val="center"/>
            </w:pPr>
            <w:r>
              <w:rPr>
                <w:rFonts w:ascii="Calibri" w:hAnsi="Calibri"/>
                <w:b/>
                <w:i w:val="0"/>
                <w:color w:val="FFFFFF"/>
                <w:sz w:val="20"/>
              </w:rPr>
              <w:t>Dato del contexto</w:t>
            </w:r>
          </w:p>
        </w:tc>
        <w:tc>
          <w:tcPr>
            <w:tcW w:type="dxa" w:w="6192"/>
            <w:shd w:val="clear" w:color="auto" w:fill="1C1C1C"/>
          </w:tcPr>
          <w:p>
            <w:pPr>
              <w:spacing w:before="60" w:after="60"/>
              <w:jc w:val="center"/>
            </w:pPr>
            <w:r>
              <w:rPr>
                <w:rFonts w:ascii="Calibri" w:hAnsi="Calibri"/>
                <w:b/>
                <w:i w:val="0"/>
                <w:color w:val="FFFFFF"/>
                <w:sz w:val="20"/>
              </w:rPr>
              <w:t>Implicación táctica</w:t>
            </w:r>
          </w:p>
        </w:tc>
      </w:tr>
      <w:tr>
        <w:tc>
          <w:tcPr>
            <w:tcW w:type="dxa" w:w="3600"/>
            <w:shd w:val="clear" w:color="auto" w:fill="F5F5F5"/>
          </w:tcPr>
          <w:p>
            <w:pPr>
              <w:spacing w:before="40" w:after="40"/>
            </w:pPr>
            <w:r>
              <w:rPr>
                <w:rFonts w:ascii="Calibri" w:hAnsi="Calibri"/>
                <w:b/>
                <w:i w:val="0"/>
                <w:color w:val="1C1C1C"/>
                <w:sz w:val="20"/>
              </w:rPr>
              <w:t>Trululu lidera el TOM de la categoría</w:t>
            </w:r>
          </w:p>
        </w:tc>
        <w:tc>
          <w:tcPr>
            <w:tcW w:type="dxa" w:w="6192"/>
            <w:shd w:val="clear" w:color="auto" w:fill="F5F5F5"/>
          </w:tcPr>
          <w:p>
            <w:pPr>
              <w:spacing w:before="40" w:after="40"/>
            </w:pPr>
            <w:r>
              <w:rPr>
                <w:rFonts w:ascii="Calibri" w:hAnsi="Calibri"/>
                <w:b w:val="0"/>
                <w:i w:val="0"/>
                <w:color w:val="666666"/>
                <w:sz w:val="20"/>
              </w:rPr>
              <w:t>No hay que vender la marca — ya está instalada. Solo hay que reducir la barrera de entrada a la nueva referencia.</w:t>
            </w:r>
          </w:p>
        </w:tc>
      </w:tr>
      <w:tr>
        <w:tc>
          <w:tcPr>
            <w:tcW w:type="dxa" w:w="3600"/>
            <w:shd w:val="clear" w:color="auto" w:fill="FFFFFF"/>
          </w:tcPr>
          <w:p>
            <w:pPr>
              <w:spacing w:before="40" w:after="40"/>
            </w:pPr>
            <w:r>
              <w:rPr>
                <w:rFonts w:ascii="Calibri" w:hAnsi="Calibri"/>
                <w:b/>
                <w:i w:val="0"/>
                <w:color w:val="1C1C1C"/>
                <w:sz w:val="20"/>
              </w:rPr>
              <w:t>80 % del volumen pasa por mayoristas</w:t>
            </w:r>
          </w:p>
        </w:tc>
        <w:tc>
          <w:tcPr>
            <w:tcW w:type="dxa" w:w="6192"/>
            <w:shd w:val="clear" w:color="auto" w:fill="FFFFFF"/>
          </w:tcPr>
          <w:p>
            <w:pPr>
              <w:spacing w:before="40" w:after="40"/>
            </w:pPr>
            <w:r>
              <w:rPr>
                <w:rFonts w:ascii="Calibri" w:hAnsi="Calibri"/>
                <w:b w:val="0"/>
                <w:i w:val="0"/>
                <w:color w:val="666666"/>
                <w:sz w:val="20"/>
              </w:rPr>
              <w:t>El mayorista es donde el tendero compra. Activar el punto de venta en mayoristas genera demanda pull hacia el tendero.</w:t>
            </w:r>
          </w:p>
        </w:tc>
      </w:tr>
      <w:tr>
        <w:tc>
          <w:tcPr>
            <w:tcW w:type="dxa" w:w="3600"/>
            <w:shd w:val="clear" w:color="auto" w:fill="F5F5F5"/>
          </w:tcPr>
          <w:p>
            <w:pPr>
              <w:spacing w:before="40" w:after="40"/>
            </w:pPr>
            <w:r>
              <w:rPr>
                <w:rFonts w:ascii="Calibri" w:hAnsi="Calibri"/>
                <w:b/>
                <w:i w:val="0"/>
                <w:color w:val="1C1C1C"/>
                <w:sz w:val="20"/>
              </w:rPr>
              <w:t>Un único distribuidor con 785 vendedores llega T2T</w:t>
            </w:r>
          </w:p>
        </w:tc>
        <w:tc>
          <w:tcPr>
            <w:tcW w:type="dxa" w:w="6192"/>
            <w:shd w:val="clear" w:color="auto" w:fill="F5F5F5"/>
          </w:tcPr>
          <w:p>
            <w:pPr>
              <w:spacing w:before="40" w:after="40"/>
            </w:pPr>
            <w:r>
              <w:rPr>
                <w:rFonts w:ascii="Calibri" w:hAnsi="Calibri"/>
                <w:b w:val="0"/>
                <w:i w:val="0"/>
                <w:color w:val="666666"/>
                <w:sz w:val="20"/>
              </w:rPr>
              <w:t>El distribuidor es el canal de llegada. Si sus vendedores no están convencidos y equipados, la referencia no llega a la tienda.</w:t>
            </w:r>
          </w:p>
        </w:tc>
      </w:tr>
    </w:tbl>
    <w:p>
      <w:pPr>
        <w:spacing w:after="40"/>
      </w:pPr>
    </w:p>
    <w:p>
      <w:pPr>
        <w:spacing w:before="120" w:after="160"/>
        <w:ind w:left="216"/>
        <w:shd w:val="clear" w:color="auto" w:fill="1C1C1C"/>
      </w:pPr>
      <w:r>
        <w:rPr>
          <w:rFonts w:ascii="Calibri" w:hAnsi="Calibri"/>
          <w:b w:val="0"/>
          <w:i/>
          <w:color w:val="FFFFFF"/>
          <w:sz w:val="21"/>
        </w:rPr>
        <w:t xml:space="preserve">  "Edición Estelar es la versión más especial de Trululu Nanos del año. Tus clientes ya conocen Trululu — esta referencia viene con empaque coleccionable. Si la tienes, ellos la compran. Si no la tienes, van a otra tienda."</w:t>
      </w:r>
    </w:p>
    <w:p>
      <w:pPr>
        <w:spacing w:before="280" w:after="80"/>
        <w:pBdr>
          <w:bottom w:val="single" w:sz="12" w:color="80CC00"/>
        </w:pBdr>
      </w:pPr>
      <w:r>
        <w:rPr>
          <w:rFonts w:ascii="Calibri" w:hAnsi="Calibri"/>
          <w:b/>
          <w:i w:val="0"/>
          <w:color w:val="1C1C1C"/>
          <w:sz w:val="30"/>
        </w:rPr>
        <w:t>2. Configuración de la Oferta al Tendero</w:t>
      </w:r>
    </w:p>
    <w:p>
      <w:pPr>
        <w:spacing w:before="0" w:after="60"/>
      </w:pPr>
      <w:r>
        <w:rPr>
          <w:rFonts w:ascii="Calibri" w:hAnsi="Calibri"/>
          <w:b w:val="0"/>
          <w:i w:val="0"/>
          <w:color w:val="666666"/>
          <w:sz w:val="21"/>
        </w:rPr>
        <w:t>La oferta se estructura en tres pilares encadenados. El primero reduce el riesgo de entrada, el segundo hace que la primera compra sea rentable de inmediato y el tercero convierte esa primera compra en un hábito de recompra.</w:t>
      </w:r>
    </w:p>
    <w:p>
      <w:pPr>
        <w:spacing w:before="160" w:after="80"/>
      </w:pPr>
      <w:r>
        <w:rPr>
          <w:rFonts w:ascii="Calibri" w:hAnsi="Calibri"/>
          <w:b/>
          <w:i w:val="0"/>
          <w:color w:val="80CC00"/>
          <w:sz w:val="24"/>
        </w:rPr>
        <w:t>Pilar 1 — Entrada fácil: reduce la barrera de codificación</w:t>
      </w:r>
    </w:p>
    <w:p>
      <w:pPr>
        <w:spacing w:before="0" w:after="60"/>
      </w:pPr>
      <w:r>
        <w:rPr>
          <w:rFonts w:ascii="Calibri" w:hAnsi="Calibri"/>
          <w:b w:val="0"/>
          <w:i w:val="0"/>
          <w:color w:val="666666"/>
          <w:sz w:val="21"/>
        </w:rPr>
        <w:t>El principal freno del tendero ante una referencia nueva es el miedo al inventario muerto. Este pilar elimina ese freno bajando el mínimo de compra y asegurando que el producto ya tiene demanda instalada en el consumidor.</w:t>
      </w:r>
    </w:p>
    <w:tbl>
      <w:tblPr>
        <w:tblStyle w:val="TableGrid"/>
        <w:tblW w:type="auto" w:w="0"/>
        <w:jc w:val="center"/>
        <w:tblLook w:firstColumn="1" w:firstRow="1" w:lastColumn="0" w:lastRow="0" w:noHBand="0" w:noVBand="1" w:val="04A0"/>
      </w:tblPr>
      <w:tblGrid>
        <w:gridCol w:w="4873"/>
        <w:gridCol w:w="4873"/>
      </w:tblGrid>
      <w:tr>
        <w:tc>
          <w:tcPr>
            <w:tcW w:type="dxa" w:w="4032"/>
            <w:shd w:val="clear" w:color="auto" w:fill="1C1C1C"/>
          </w:tcPr>
          <w:p>
            <w:pPr>
              <w:spacing w:before="60" w:after="60"/>
              <w:jc w:val="center"/>
            </w:pPr>
            <w:r>
              <w:rPr>
                <w:rFonts w:ascii="Calibri" w:hAnsi="Calibri"/>
                <w:b/>
                <w:i w:val="0"/>
                <w:color w:val="FFFFFF"/>
                <w:sz w:val="20"/>
              </w:rPr>
              <w:t>Elemento</w:t>
            </w:r>
          </w:p>
        </w:tc>
        <w:tc>
          <w:tcPr>
            <w:tcW w:type="dxa" w:w="5760"/>
            <w:shd w:val="clear" w:color="auto" w:fill="1C1C1C"/>
          </w:tcPr>
          <w:p>
            <w:pPr>
              <w:spacing w:before="60" w:after="60"/>
              <w:jc w:val="center"/>
            </w:pPr>
            <w:r>
              <w:rPr>
                <w:rFonts w:ascii="Calibri" w:hAnsi="Calibri"/>
                <w:b/>
                <w:i w:val="0"/>
                <w:color w:val="FFFFFF"/>
                <w:sz w:val="20"/>
              </w:rPr>
              <w:t>Detalle</w:t>
            </w:r>
          </w:p>
        </w:tc>
      </w:tr>
      <w:tr>
        <w:tc>
          <w:tcPr>
            <w:tcW w:type="dxa" w:w="4032"/>
            <w:shd w:val="clear" w:color="auto" w:fill="F5F5F5"/>
          </w:tcPr>
          <w:p>
            <w:pPr>
              <w:spacing w:before="40" w:after="40"/>
            </w:pPr>
            <w:r>
              <w:rPr>
                <w:rFonts w:ascii="Calibri" w:hAnsi="Calibri"/>
                <w:b/>
                <w:i w:val="0"/>
                <w:color w:val="1C1C1C"/>
                <w:sz w:val="20"/>
              </w:rPr>
              <w:t>Pack mínimo de codificación</w:t>
            </w:r>
          </w:p>
        </w:tc>
        <w:tc>
          <w:tcPr>
            <w:tcW w:type="dxa" w:w="5760"/>
            <w:shd w:val="clear" w:color="auto" w:fill="F5F5F5"/>
          </w:tcPr>
          <w:p>
            <w:pPr>
              <w:spacing w:before="40" w:after="40"/>
            </w:pPr>
            <w:r>
              <w:rPr>
                <w:rFonts w:ascii="Calibri" w:hAnsi="Calibri"/>
                <w:b w:val="0"/>
                <w:i w:val="0"/>
                <w:color w:val="666666"/>
                <w:sz w:val="20"/>
              </w:rPr>
              <w:t>2 displays × 24 unidades = 48 unidades</w:t>
            </w:r>
          </w:p>
        </w:tc>
      </w:tr>
      <w:tr>
        <w:tc>
          <w:tcPr>
            <w:tcW w:type="dxa" w:w="4032"/>
            <w:shd w:val="clear" w:color="auto" w:fill="FFFFFF"/>
          </w:tcPr>
          <w:p>
            <w:pPr>
              <w:spacing w:before="40" w:after="40"/>
            </w:pPr>
            <w:r>
              <w:rPr>
                <w:rFonts w:ascii="Calibri" w:hAnsi="Calibri"/>
                <w:b/>
                <w:i w:val="0"/>
                <w:color w:val="1C1C1C"/>
                <w:sz w:val="20"/>
              </w:rPr>
              <w:t>Precio de lanzamiento</w:t>
            </w:r>
          </w:p>
        </w:tc>
        <w:tc>
          <w:tcPr>
            <w:tcW w:type="dxa" w:w="5760"/>
            <w:shd w:val="clear" w:color="auto" w:fill="FFFFFF"/>
          </w:tcPr>
          <w:p>
            <w:pPr>
              <w:spacing w:before="40" w:after="40"/>
            </w:pPr>
            <w:r>
              <w:rPr>
                <w:rFonts w:ascii="Calibri" w:hAnsi="Calibri"/>
                <w:b w:val="0"/>
                <w:i w:val="0"/>
                <w:color w:val="666666"/>
                <w:sz w:val="20"/>
              </w:rPr>
              <w:t>12 % de descuento vs precio regular de lista</w:t>
            </w:r>
          </w:p>
        </w:tc>
      </w:tr>
      <w:tr>
        <w:tc>
          <w:tcPr>
            <w:tcW w:type="dxa" w:w="4032"/>
            <w:shd w:val="clear" w:color="auto" w:fill="F5F5F5"/>
          </w:tcPr>
          <w:p>
            <w:pPr>
              <w:spacing w:before="40" w:after="40"/>
            </w:pPr>
            <w:r>
              <w:rPr>
                <w:rFonts w:ascii="Calibri" w:hAnsi="Calibri"/>
                <w:b/>
                <w:i w:val="0"/>
                <w:color w:val="1C1C1C"/>
                <w:sz w:val="20"/>
              </w:rPr>
              <w:t>Vigencia del descuento</w:t>
            </w:r>
          </w:p>
        </w:tc>
        <w:tc>
          <w:tcPr>
            <w:tcW w:type="dxa" w:w="5760"/>
            <w:shd w:val="clear" w:color="auto" w:fill="F5F5F5"/>
          </w:tcPr>
          <w:p>
            <w:pPr>
              <w:spacing w:before="40" w:after="40"/>
            </w:pPr>
            <w:r>
              <w:rPr>
                <w:rFonts w:ascii="Calibri" w:hAnsi="Calibri"/>
                <w:b w:val="0"/>
                <w:i w:val="0"/>
                <w:color w:val="666666"/>
                <w:sz w:val="20"/>
              </w:rPr>
              <w:t>Solo para la primera compra de la referencia — crea urgencia</w:t>
            </w:r>
          </w:p>
        </w:tc>
      </w:tr>
      <w:tr>
        <w:tc>
          <w:tcPr>
            <w:tcW w:type="dxa" w:w="4032"/>
            <w:shd w:val="clear" w:color="auto" w:fill="FFFFFF"/>
          </w:tcPr>
          <w:p>
            <w:pPr>
              <w:spacing w:before="40" w:after="40"/>
            </w:pPr>
            <w:r>
              <w:rPr>
                <w:rFonts w:ascii="Calibri" w:hAnsi="Calibri"/>
                <w:b/>
                <w:i w:val="0"/>
                <w:color w:val="1C1C1C"/>
                <w:sz w:val="20"/>
              </w:rPr>
              <w:t>Exhibidor de sobremesa gratis</w:t>
            </w:r>
          </w:p>
        </w:tc>
        <w:tc>
          <w:tcPr>
            <w:tcW w:type="dxa" w:w="5760"/>
            <w:shd w:val="clear" w:color="auto" w:fill="FFFFFF"/>
          </w:tcPr>
          <w:p>
            <w:pPr>
              <w:spacing w:before="40" w:after="40"/>
            </w:pPr>
            <w:r>
              <w:rPr>
                <w:rFonts w:ascii="Calibri" w:hAnsi="Calibri"/>
                <w:b w:val="0"/>
                <w:i w:val="0"/>
                <w:color w:val="666666"/>
                <w:sz w:val="20"/>
              </w:rPr>
              <w:t>Para los primeros 200 tenderos que codifiquen — crea competencia entre tiendas</w:t>
            </w:r>
          </w:p>
        </w:tc>
      </w:tr>
    </w:tbl>
    <w:p>
      <w:pPr>
        <w:spacing w:after="40"/>
      </w:pPr>
    </w:p>
    <w:p>
      <w:pPr>
        <w:spacing w:before="0" w:after="60"/>
        <w:ind w:left="360"/>
      </w:pPr>
      <w:r>
        <w:rPr>
          <w:rFonts w:ascii="Calibri" w:hAnsi="Calibri"/>
          <w:b w:val="0"/>
          <w:i w:val="0"/>
          <w:color w:val="1C1C1C"/>
          <w:sz w:val="20"/>
        </w:rPr>
        <w:t>▸  El exhibidor es clave: el producto queda visible en el mostrador sin que el tendero tenga que "armar" nada. Reduce la fricción de ejecución.</w:t>
      </w:r>
    </w:p>
    <w:p>
      <w:pPr>
        <w:spacing w:before="160" w:after="80"/>
      </w:pPr>
      <w:r>
        <w:rPr>
          <w:rFonts w:ascii="Calibri" w:hAnsi="Calibri"/>
          <w:b/>
          <w:i w:val="0"/>
          <w:color w:val="80CC00"/>
          <w:sz w:val="24"/>
        </w:rPr>
        <w:t>Pilar 2 — Beneficio inmediato: la primera compra debe ser rentable ya</w:t>
      </w:r>
    </w:p>
    <w:p>
      <w:pPr>
        <w:spacing w:before="0" w:after="60"/>
      </w:pPr>
      <w:r>
        <w:rPr>
          <w:rFonts w:ascii="Calibri" w:hAnsi="Calibri"/>
          <w:b w:val="0"/>
          <w:i w:val="0"/>
          <w:color w:val="666666"/>
          <w:sz w:val="21"/>
        </w:rPr>
        <w:t>El tendero evalúa cualquier producto nuevo con una pregunta: ¿en cuánto tiempo recupero lo que invertí? Este pilar garantiza que la primera compra ya tiene retorno visible.</w:t>
      </w:r>
    </w:p>
    <w:tbl>
      <w:tblPr>
        <w:tblStyle w:val="TableGrid"/>
        <w:tblW w:type="auto" w:w="0"/>
        <w:jc w:val="center"/>
        <w:tblLook w:firstColumn="1" w:firstRow="1" w:lastColumn="0" w:lastRow="0" w:noHBand="0" w:noVBand="1" w:val="04A0"/>
      </w:tblPr>
      <w:tblGrid>
        <w:gridCol w:w="4873"/>
        <w:gridCol w:w="4873"/>
      </w:tblGrid>
      <w:tr>
        <w:tc>
          <w:tcPr>
            <w:tcW w:type="dxa" w:w="4032"/>
            <w:shd w:val="clear" w:color="auto" w:fill="1C1C1C"/>
          </w:tcPr>
          <w:p>
            <w:pPr>
              <w:spacing w:before="60" w:after="60"/>
              <w:jc w:val="center"/>
            </w:pPr>
            <w:r>
              <w:rPr>
                <w:rFonts w:ascii="Calibri" w:hAnsi="Calibri"/>
                <w:b/>
                <w:i w:val="0"/>
                <w:color w:val="FFFFFF"/>
                <w:sz w:val="20"/>
              </w:rPr>
              <w:t>Elemento</w:t>
            </w:r>
          </w:p>
        </w:tc>
        <w:tc>
          <w:tcPr>
            <w:tcW w:type="dxa" w:w="5760"/>
            <w:shd w:val="clear" w:color="auto" w:fill="1C1C1C"/>
          </w:tcPr>
          <w:p>
            <w:pPr>
              <w:spacing w:before="60" w:after="60"/>
              <w:jc w:val="center"/>
            </w:pPr>
            <w:r>
              <w:rPr>
                <w:rFonts w:ascii="Calibri" w:hAnsi="Calibri"/>
                <w:b/>
                <w:i w:val="0"/>
                <w:color w:val="FFFFFF"/>
                <w:sz w:val="20"/>
              </w:rPr>
              <w:t>Detalle</w:t>
            </w:r>
          </w:p>
        </w:tc>
      </w:tr>
      <w:tr>
        <w:tc>
          <w:tcPr>
            <w:tcW w:type="dxa" w:w="4032"/>
            <w:shd w:val="clear" w:color="auto" w:fill="F5F5F5"/>
          </w:tcPr>
          <w:p>
            <w:pPr>
              <w:spacing w:before="40" w:after="40"/>
            </w:pPr>
            <w:r>
              <w:rPr>
                <w:rFonts w:ascii="Calibri" w:hAnsi="Calibri"/>
                <w:b/>
                <w:i w:val="0"/>
                <w:color w:val="1C1C1C"/>
                <w:sz w:val="20"/>
              </w:rPr>
              <w:t>Bonificación 1×12</w:t>
            </w:r>
          </w:p>
        </w:tc>
        <w:tc>
          <w:tcPr>
            <w:tcW w:type="dxa" w:w="5760"/>
            <w:shd w:val="clear" w:color="auto" w:fill="F5F5F5"/>
          </w:tcPr>
          <w:p>
            <w:pPr>
              <w:spacing w:before="40" w:after="40"/>
            </w:pPr>
            <w:r>
              <w:rPr>
                <w:rFonts w:ascii="Calibri" w:hAnsi="Calibri"/>
                <w:b w:val="0"/>
                <w:i w:val="0"/>
                <w:color w:val="666666"/>
                <w:sz w:val="20"/>
              </w:rPr>
              <w:t>Por cada 48 unidades compradas → 4 unidades gratis (aumenta el margen por unidad vendida)</w:t>
            </w:r>
          </w:p>
        </w:tc>
      </w:tr>
      <w:tr>
        <w:tc>
          <w:tcPr>
            <w:tcW w:type="dxa" w:w="4032"/>
            <w:shd w:val="clear" w:color="auto" w:fill="FFFFFF"/>
          </w:tcPr>
          <w:p>
            <w:pPr>
              <w:spacing w:before="40" w:after="40"/>
            </w:pPr>
            <w:r>
              <w:rPr>
                <w:rFonts w:ascii="Calibri" w:hAnsi="Calibri"/>
                <w:b/>
                <w:i w:val="0"/>
                <w:color w:val="1C1C1C"/>
                <w:sz w:val="20"/>
              </w:rPr>
              <w:t>Sticker de fachada</w:t>
            </w:r>
          </w:p>
        </w:tc>
        <w:tc>
          <w:tcPr>
            <w:tcW w:type="dxa" w:w="5760"/>
            <w:shd w:val="clear" w:color="auto" w:fill="FFFFFF"/>
          </w:tcPr>
          <w:p>
            <w:pPr>
              <w:spacing w:before="40" w:after="40"/>
            </w:pPr>
            <w:r>
              <w:rPr>
                <w:rFonts w:ascii="Calibri" w:hAnsi="Calibri"/>
                <w:b w:val="0"/>
                <w:i w:val="0"/>
                <w:color w:val="666666"/>
                <w:sz w:val="20"/>
              </w:rPr>
              <w:t>"Punto Oficial Edición Estelar" — genera orgullo de pertenencia y atrae al consumidor que busca la edición</w:t>
            </w:r>
          </w:p>
        </w:tc>
      </w:tr>
      <w:tr>
        <w:tc>
          <w:tcPr>
            <w:tcW w:type="dxa" w:w="4032"/>
            <w:shd w:val="clear" w:color="auto" w:fill="F5F5F5"/>
          </w:tcPr>
          <w:p>
            <w:pPr>
              <w:spacing w:before="40" w:after="40"/>
            </w:pPr>
            <w:r>
              <w:rPr>
                <w:rFonts w:ascii="Calibri" w:hAnsi="Calibri"/>
                <w:b/>
                <w:i w:val="0"/>
                <w:color w:val="1C1C1C"/>
                <w:sz w:val="20"/>
              </w:rPr>
              <w:t>Sorteo mensual</w:t>
            </w:r>
          </w:p>
        </w:tc>
        <w:tc>
          <w:tcPr>
            <w:tcW w:type="dxa" w:w="5760"/>
            <w:shd w:val="clear" w:color="auto" w:fill="F5F5F5"/>
          </w:tcPr>
          <w:p>
            <w:pPr>
              <w:spacing w:before="40" w:after="40"/>
            </w:pPr>
            <w:r>
              <w:rPr>
                <w:rFonts w:ascii="Calibri" w:hAnsi="Calibri"/>
                <w:b w:val="0"/>
                <w:i w:val="0"/>
                <w:color w:val="666666"/>
                <w:sz w:val="20"/>
              </w:rPr>
              <w:t>El tendero con más unidades codificadas gana una tablet o televisor — crea competencia positiva entre tiendas</w:t>
            </w:r>
          </w:p>
        </w:tc>
      </w:tr>
      <w:tr>
        <w:tc>
          <w:tcPr>
            <w:tcW w:type="dxa" w:w="4032"/>
            <w:shd w:val="clear" w:color="auto" w:fill="FFFFFF"/>
          </w:tcPr>
          <w:p>
            <w:pPr>
              <w:spacing w:before="40" w:after="40"/>
            </w:pPr>
            <w:r>
              <w:rPr>
                <w:rFonts w:ascii="Calibri" w:hAnsi="Calibri"/>
                <w:b/>
                <w:i w:val="0"/>
                <w:color w:val="1C1C1C"/>
                <w:sz w:val="20"/>
              </w:rPr>
              <w:t>Kit de impulso en mostrador</w:t>
            </w:r>
          </w:p>
        </w:tc>
        <w:tc>
          <w:tcPr>
            <w:tcW w:type="dxa" w:w="5760"/>
            <w:shd w:val="clear" w:color="auto" w:fill="FFFFFF"/>
          </w:tcPr>
          <w:p>
            <w:pPr>
              <w:spacing w:before="40" w:after="40"/>
            </w:pPr>
            <w:r>
              <w:rPr>
                <w:rFonts w:ascii="Calibri" w:hAnsi="Calibri"/>
                <w:b w:val="0"/>
                <w:i w:val="0"/>
                <w:color w:val="666666"/>
                <w:sz w:val="20"/>
              </w:rPr>
              <w:t>Cenefa + precio sugerido de venta visibles desde el exterior de la tienda</w:t>
            </w:r>
          </w:p>
        </w:tc>
      </w:tr>
    </w:tbl>
    <w:p>
      <w:pPr>
        <w:spacing w:after="40"/>
      </w:pPr>
    </w:p>
    <w:p>
      <w:pPr>
        <w:spacing w:before="160" w:after="80"/>
      </w:pPr>
      <w:r>
        <w:rPr>
          <w:rFonts w:ascii="Calibri" w:hAnsi="Calibri"/>
          <w:b/>
          <w:i w:val="0"/>
          <w:color w:val="80CC00"/>
          <w:sz w:val="24"/>
        </w:rPr>
        <w:t>Pilar 3 — Acelerador de recompra: convertir la codificación en hábito</w:t>
      </w:r>
    </w:p>
    <w:p>
      <w:pPr>
        <w:spacing w:before="0" w:after="60"/>
      </w:pPr>
      <w:r>
        <w:rPr>
          <w:rFonts w:ascii="Calibri" w:hAnsi="Calibri"/>
          <w:b w:val="0"/>
          <w:i w:val="0"/>
          <w:color w:val="666666"/>
          <w:sz w:val="21"/>
        </w:rPr>
        <w:t>Una referencia se consolida cuando el tendero la repone automáticamente. Este pilar construye ese hábito en las primeras 8 semanas de lanzamiento.</w:t>
      </w:r>
    </w:p>
    <w:tbl>
      <w:tblPr>
        <w:tblStyle w:val="TableGrid"/>
        <w:tblW w:type="auto" w:w="0"/>
        <w:jc w:val="center"/>
        <w:tblLook w:firstColumn="1" w:firstRow="1" w:lastColumn="0" w:lastRow="0" w:noHBand="0" w:noVBand="1" w:val="04A0"/>
      </w:tblPr>
      <w:tblGrid>
        <w:gridCol w:w="4873"/>
        <w:gridCol w:w="4873"/>
      </w:tblGrid>
      <w:tr>
        <w:tc>
          <w:tcPr>
            <w:tcW w:type="dxa" w:w="4032"/>
            <w:shd w:val="clear" w:color="auto" w:fill="1C1C1C"/>
          </w:tcPr>
          <w:p>
            <w:pPr>
              <w:spacing w:before="60" w:after="60"/>
              <w:jc w:val="center"/>
            </w:pPr>
            <w:r>
              <w:rPr>
                <w:rFonts w:ascii="Calibri" w:hAnsi="Calibri"/>
                <w:b/>
                <w:i w:val="0"/>
                <w:color w:val="FFFFFF"/>
                <w:sz w:val="20"/>
              </w:rPr>
              <w:t>Elemento</w:t>
            </w:r>
          </w:p>
        </w:tc>
        <w:tc>
          <w:tcPr>
            <w:tcW w:type="dxa" w:w="5760"/>
            <w:shd w:val="clear" w:color="auto" w:fill="1C1C1C"/>
          </w:tcPr>
          <w:p>
            <w:pPr>
              <w:spacing w:before="60" w:after="60"/>
              <w:jc w:val="center"/>
            </w:pPr>
            <w:r>
              <w:rPr>
                <w:rFonts w:ascii="Calibri" w:hAnsi="Calibri"/>
                <w:b/>
                <w:i w:val="0"/>
                <w:color w:val="FFFFFF"/>
                <w:sz w:val="20"/>
              </w:rPr>
              <w:t>Detalle</w:t>
            </w:r>
          </w:p>
        </w:tc>
      </w:tr>
      <w:tr>
        <w:tc>
          <w:tcPr>
            <w:tcW w:type="dxa" w:w="4032"/>
            <w:shd w:val="clear" w:color="auto" w:fill="F5F5F5"/>
          </w:tcPr>
          <w:p>
            <w:pPr>
              <w:spacing w:before="40" w:after="40"/>
            </w:pPr>
            <w:r>
              <w:rPr>
                <w:rFonts w:ascii="Calibri" w:hAnsi="Calibri"/>
                <w:b/>
                <w:i w:val="0"/>
                <w:color w:val="1C1C1C"/>
                <w:sz w:val="20"/>
              </w:rPr>
              <w:t>Descuento por reposición rápida</w:t>
            </w:r>
          </w:p>
        </w:tc>
        <w:tc>
          <w:tcPr>
            <w:tcW w:type="dxa" w:w="5760"/>
            <w:shd w:val="clear" w:color="auto" w:fill="F5F5F5"/>
          </w:tcPr>
          <w:p>
            <w:pPr>
              <w:spacing w:before="40" w:after="40"/>
            </w:pPr>
            <w:r>
              <w:rPr>
                <w:rFonts w:ascii="Calibri" w:hAnsi="Calibri"/>
                <w:b w:val="0"/>
                <w:i w:val="0"/>
                <w:color w:val="666666"/>
                <w:sz w:val="20"/>
              </w:rPr>
              <w:t>Si el tendero repone antes de 15 días → 5 % adicional de descuento en la segunda compra</w:t>
            </w:r>
          </w:p>
        </w:tc>
      </w:tr>
      <w:tr>
        <w:tc>
          <w:tcPr>
            <w:tcW w:type="dxa" w:w="4032"/>
            <w:shd w:val="clear" w:color="auto" w:fill="FFFFFF"/>
          </w:tcPr>
          <w:p>
            <w:pPr>
              <w:spacing w:before="40" w:after="40"/>
            </w:pPr>
            <w:r>
              <w:rPr>
                <w:rFonts w:ascii="Calibri" w:hAnsi="Calibri"/>
                <w:b/>
                <w:i w:val="0"/>
                <w:color w:val="1C1C1C"/>
                <w:sz w:val="20"/>
              </w:rPr>
              <w:t>Programa "Estrella Constante"</w:t>
            </w:r>
          </w:p>
        </w:tc>
        <w:tc>
          <w:tcPr>
            <w:tcW w:type="dxa" w:w="5760"/>
            <w:shd w:val="clear" w:color="auto" w:fill="FFFFFF"/>
          </w:tcPr>
          <w:p>
            <w:pPr>
              <w:spacing w:before="40" w:after="40"/>
            </w:pPr>
            <w:r>
              <w:rPr>
                <w:rFonts w:ascii="Calibri" w:hAnsi="Calibri"/>
                <w:b w:val="0"/>
                <w:i w:val="0"/>
                <w:color w:val="666666"/>
                <w:sz w:val="20"/>
              </w:rPr>
              <w:t>3 compras consecutivas = el tendero recibe material POP personalizado con el nombre de su negocio</w:t>
            </w:r>
          </w:p>
        </w:tc>
      </w:tr>
      <w:tr>
        <w:tc>
          <w:tcPr>
            <w:tcW w:type="dxa" w:w="4032"/>
            <w:shd w:val="clear" w:color="auto" w:fill="F5F5F5"/>
          </w:tcPr>
          <w:p>
            <w:pPr>
              <w:spacing w:before="40" w:after="40"/>
            </w:pPr>
            <w:r>
              <w:rPr>
                <w:rFonts w:ascii="Calibri" w:hAnsi="Calibri"/>
                <w:b/>
                <w:i w:val="0"/>
                <w:color w:val="1C1C1C"/>
                <w:sz w:val="20"/>
              </w:rPr>
              <w:t>Argumento de rotación</w:t>
            </w:r>
          </w:p>
        </w:tc>
        <w:tc>
          <w:tcPr>
            <w:tcW w:type="dxa" w:w="5760"/>
            <w:shd w:val="clear" w:color="auto" w:fill="F5F5F5"/>
          </w:tcPr>
          <w:p>
            <w:pPr>
              <w:spacing w:before="40" w:after="40"/>
            </w:pPr>
            <w:r>
              <w:rPr>
                <w:rFonts w:ascii="Calibri" w:hAnsi="Calibri"/>
                <w:b w:val="0"/>
                <w:i w:val="0"/>
                <w:color w:val="666666"/>
                <w:sz w:val="20"/>
              </w:rPr>
              <w:t>El vendedor muestra al tendero datos reales de ventas de Trululu en su zona — evidencia que la demanda ya existe</w:t>
            </w:r>
          </w:p>
        </w:tc>
      </w:tr>
    </w:tbl>
    <w:p>
      <w:pPr>
        <w:spacing w:after="40"/>
      </w:pPr>
    </w:p>
    <w:p>
      <w:pPr>
        <w:spacing w:before="160" w:after="0"/>
        <w:shd w:val="clear" w:color="auto" w:fill="80CC00"/>
      </w:pPr>
      <w:r>
        <w:rPr>
          <w:rFonts w:ascii="Calibri" w:hAnsi="Calibri"/>
          <w:b/>
          <w:i w:val="0"/>
          <w:color w:val="FFFFFF"/>
          <w:sz w:val="22"/>
        </w:rPr>
        <w:t xml:space="preserve">    OFERTA COMPLETA EN UNA LÍNEA</w:t>
      </w:r>
    </w:p>
    <w:p>
      <w:pPr>
        <w:spacing w:before="0" w:after="20"/>
        <w:ind w:left="216"/>
        <w:shd w:val="clear" w:color="auto" w:fill="F0FFCC"/>
      </w:pPr>
      <w:r>
        <w:rPr>
          <w:rFonts w:ascii="Calibri" w:hAnsi="Calibri"/>
          <w:b w:val="0"/>
          <w:i w:val="0"/>
          <w:color w:val="1C1C1C"/>
          <w:sz w:val="20"/>
        </w:rPr>
        <w:t xml:space="preserve">  Pack 48 und + 12 % dcto  →  4 und gratis  →  exhibidor gratis (primeros 200)</w:t>
      </w:r>
    </w:p>
    <w:p>
      <w:pPr>
        <w:spacing w:before="0" w:after="20"/>
        <w:ind w:left="216"/>
        <w:shd w:val="clear" w:color="auto" w:fill="F0FFCC"/>
      </w:pPr>
      <w:r>
        <w:rPr>
          <w:rFonts w:ascii="Calibri" w:hAnsi="Calibri"/>
          <w:b w:val="0"/>
          <w:i w:val="0"/>
          <w:color w:val="1C1C1C"/>
          <w:sz w:val="20"/>
        </w:rPr>
        <w:t xml:space="preserve">  Reposición antes de 15 días: +5 % dcto  |  3 compras seguidas: POP personalizado</w:t>
      </w:r>
    </w:p>
    <w:p>
      <w:pPr>
        <w:spacing w:before="0" w:after="20"/>
        <w:ind w:left="216"/>
        <w:shd w:val="clear" w:color="auto" w:fill="F0FFCC"/>
      </w:pPr>
      <w:r>
        <w:rPr>
          <w:rFonts w:ascii="Calibri" w:hAnsi="Calibri"/>
          <w:b w:val="0"/>
          <w:i w:val="0"/>
          <w:color w:val="1C1C1C"/>
          <w:sz w:val="20"/>
        </w:rPr>
        <w:t xml:space="preserve">  Sticker de fachada + sorteo mensual de tablet/televisor para el mejor codificador</w:t>
      </w:r>
    </w:p>
    <w:p>
      <w:pPr>
        <w:spacing w:before="0" w:after="120"/>
      </w:pPr>
    </w:p>
    <w:p>
      <w:pPr>
        <w:spacing w:before="280" w:after="80"/>
        <w:pBdr>
          <w:bottom w:val="single" w:sz="12" w:color="80CC00"/>
        </w:pBdr>
      </w:pPr>
      <w:r>
        <w:rPr>
          <w:rFonts w:ascii="Calibri" w:hAnsi="Calibri"/>
          <w:b/>
          <w:i w:val="0"/>
          <w:color w:val="1C1C1C"/>
          <w:sz w:val="30"/>
        </w:rPr>
        <w:t>3. Estrategia para Llegar a los 785 Vendedores</w:t>
      </w:r>
    </w:p>
    <w:p>
      <w:pPr>
        <w:spacing w:before="0" w:after="60"/>
      </w:pPr>
      <w:r>
        <w:rPr>
          <w:rFonts w:ascii="Calibri" w:hAnsi="Calibri"/>
          <w:b w:val="0"/>
          <w:i w:val="0"/>
          <w:color w:val="666666"/>
          <w:sz w:val="21"/>
        </w:rPr>
        <w:t>Los 785 vendedores del distribuidor no son el cliente final — son el canal de llegada. La estrategia opera en cascada: primero se convence a la cúpula, luego se capacita y equipa a cada vendedor, y finalmente se hace seguimiento para que ninguno abandone la campaña en el camino.</w:t>
      </w:r>
    </w:p>
    <w:p>
      <w:pPr>
        <w:spacing w:after="40"/>
      </w:pPr>
    </w:p>
    <w:p>
      <w:pPr>
        <w:spacing w:before="200" w:after="0"/>
        <w:shd w:val="clear" w:color="auto" w:fill="1C1C1C"/>
      </w:pPr>
      <w:r>
        <w:rPr>
          <w:rFonts w:ascii="Calibri" w:hAnsi="Calibri"/>
          <w:b/>
          <w:i w:val="0"/>
          <w:color w:val="999999"/>
          <w:sz w:val="18"/>
        </w:rPr>
        <w:t xml:space="preserve">  PASO 1  —  SEMANA 0</w:t>
      </w:r>
    </w:p>
    <w:p>
      <w:pPr>
        <w:spacing w:before="0" w:after="40"/>
        <w:shd w:val="clear" w:color="auto" w:fill="80CC00"/>
      </w:pPr>
      <w:r>
        <w:rPr>
          <w:rFonts w:ascii="Calibri" w:hAnsi="Calibri"/>
          <w:b/>
          <w:i w:val="0"/>
          <w:color w:val="FFFFFF"/>
          <w:sz w:val="24"/>
        </w:rPr>
        <w:t xml:space="preserve">  Conquista la cúpula del distribuidor</w:t>
      </w:r>
    </w:p>
    <w:p>
      <w:pPr>
        <w:spacing w:before="0" w:after="80"/>
        <w:ind w:left="144"/>
        <w:shd w:val="clear" w:color="auto" w:fill="F0FFCC"/>
      </w:pPr>
      <w:r>
        <w:rPr>
          <w:rFonts w:ascii="Calibri" w:hAnsi="Calibri"/>
          <w:b w:val="0"/>
          <w:i/>
          <w:color w:val="1C1C1C"/>
          <w:sz w:val="19"/>
        </w:rPr>
        <w:t xml:space="preserve">  ¿Por qué? Si el gerente de ventas del distribuidor no está convencido, los 785 vendedores tampoco lo estarán. Este es el paso más crítico y el que más se subestima.</w:t>
      </w:r>
    </w:p>
    <w:p>
      <w:pPr>
        <w:pStyle w:val="ListBullet"/>
        <w:spacing w:before="0" w:after="40"/>
        <w:ind w:left="288"/>
      </w:pPr>
      <w:r>
        <w:rPr>
          <w:rFonts w:ascii="Calibri" w:hAnsi="Calibri"/>
          <w:b w:val="0"/>
          <w:i w:val="0"/>
          <w:color w:val="666666"/>
          <w:sz w:val="21"/>
        </w:rPr>
        <w:t>Agendar reunión con Gerencia y Jefatura de Ventas del distribuidor (el ejecutivo comercial Ecuador coordina)</w:t>
      </w:r>
    </w:p>
    <w:p>
      <w:pPr>
        <w:pStyle w:val="ListBullet"/>
        <w:spacing w:before="0" w:after="40"/>
        <w:ind w:left="288"/>
      </w:pPr>
      <w:r>
        <w:rPr>
          <w:rFonts w:ascii="Calibri" w:hAnsi="Calibri"/>
          <w:b w:val="0"/>
          <w:i w:val="0"/>
          <w:color w:val="666666"/>
          <w:sz w:val="21"/>
        </w:rPr>
        <w:t>Presentar: la oferta completa, el margen real del tendero, el plan de bono para sus vendedores y el argumento de TOM (Trululu ya está en la mente del consumidor — solo hay que capitalizar)</w:t>
      </w:r>
    </w:p>
    <w:p>
      <w:pPr>
        <w:pStyle w:val="ListBullet"/>
        <w:spacing w:before="0" w:after="40"/>
        <w:ind w:left="288"/>
      </w:pPr>
      <w:r>
        <w:rPr>
          <w:rFonts w:ascii="Calibri" w:hAnsi="Calibri"/>
          <w:b w:val="0"/>
          <w:i w:val="0"/>
          <w:color w:val="666666"/>
          <w:sz w:val="21"/>
        </w:rPr>
        <w:t>Entregar el Kit de Lanzamiento del Distribuidor: muestra del producto, calculadora de margen para el tendero, y el plan de comunicación con los vendedores</w:t>
      </w:r>
    </w:p>
    <w:p>
      <w:pPr>
        <w:pStyle w:val="ListBullet"/>
        <w:spacing w:before="0" w:after="40"/>
        <w:ind w:left="288"/>
      </w:pPr>
      <w:r>
        <w:rPr>
          <w:rFonts w:ascii="Calibri" w:hAnsi="Calibri"/>
          <w:b w:val="0"/>
          <w:i w:val="0"/>
          <w:color w:val="666666"/>
          <w:sz w:val="21"/>
        </w:rPr>
        <w:t>Acordar metas de codificación por zona y vendedor con el distribuidor — el distribuidor se convierte en aliado activo, no en intermediario pasivo</w:t>
      </w:r>
    </w:p>
    <w:p>
      <w:pPr>
        <w:spacing w:after="40"/>
      </w:pPr>
    </w:p>
    <w:p>
      <w:pPr>
        <w:spacing w:before="200" w:after="0"/>
        <w:shd w:val="clear" w:color="auto" w:fill="1C1C1C"/>
      </w:pPr>
      <w:r>
        <w:rPr>
          <w:rFonts w:ascii="Calibri" w:hAnsi="Calibri"/>
          <w:b/>
          <w:i w:val="0"/>
          <w:color w:val="999999"/>
          <w:sz w:val="18"/>
        </w:rPr>
        <w:t xml:space="preserve">  PASO 2  —  SEMANA 1</w:t>
      </w:r>
    </w:p>
    <w:p>
      <w:pPr>
        <w:spacing w:before="0" w:after="40"/>
        <w:shd w:val="clear" w:color="auto" w:fill="80CC00"/>
      </w:pPr>
      <w:r>
        <w:rPr>
          <w:rFonts w:ascii="Calibri" w:hAnsi="Calibri"/>
          <w:b/>
          <w:i w:val="0"/>
          <w:color w:val="FFFFFF"/>
          <w:sz w:val="24"/>
        </w:rPr>
        <w:t xml:space="preserve">  Capacitación masiva a los 785 vendedores</w:t>
      </w:r>
    </w:p>
    <w:p>
      <w:pPr>
        <w:spacing w:before="0" w:after="80"/>
        <w:ind w:left="144"/>
        <w:shd w:val="clear" w:color="auto" w:fill="F0FFCC"/>
      </w:pPr>
      <w:r>
        <w:rPr>
          <w:rFonts w:ascii="Calibri" w:hAnsi="Calibri"/>
          <w:b w:val="0"/>
          <w:i/>
          <w:color w:val="1C1C1C"/>
          <w:sz w:val="19"/>
        </w:rPr>
        <w:t xml:space="preserve">  ¿Por qué? Un vendedor que no sabe qué vende no vende. Uno que sí sabe pero no tiene el argumento correcto tampoco convence al tendero.</w:t>
      </w:r>
    </w:p>
    <w:p>
      <w:pPr>
        <w:pStyle w:val="ListBullet"/>
        <w:spacing w:before="0" w:after="40"/>
        <w:ind w:left="288"/>
      </w:pPr>
      <w:r>
        <w:rPr>
          <w:rFonts w:ascii="Calibri" w:hAnsi="Calibri"/>
          <w:b w:val="0"/>
          <w:i w:val="0"/>
          <w:color w:val="666666"/>
          <w:sz w:val="21"/>
        </w:rPr>
        <w:t>Dividir a los 785 vendedores en grupos de ~100 por zona geográfica</w:t>
      </w:r>
    </w:p>
    <w:p>
      <w:pPr>
        <w:pStyle w:val="ListBullet"/>
        <w:spacing w:before="0" w:after="40"/>
        <w:ind w:left="288"/>
      </w:pPr>
      <w:r>
        <w:rPr>
          <w:rFonts w:ascii="Calibri" w:hAnsi="Calibri"/>
          <w:b w:val="0"/>
          <w:i w:val="0"/>
          <w:color w:val="666666"/>
          <w:sz w:val="21"/>
        </w:rPr>
        <w:t>Sesiones de 30 minutos (presencial o virtual por WhatsApp / Meet según zona)</w:t>
      </w:r>
    </w:p>
    <w:p>
      <w:pPr>
        <w:pStyle w:val="ListBullet"/>
        <w:spacing w:before="0" w:after="40"/>
        <w:ind w:left="288"/>
      </w:pPr>
      <w:r>
        <w:rPr>
          <w:rFonts w:ascii="Calibri" w:hAnsi="Calibri"/>
          <w:b w:val="0"/>
          <w:i w:val="0"/>
          <w:color w:val="666666"/>
          <w:sz w:val="21"/>
        </w:rPr>
        <w:t>Contenido de la sesión: (1) qué es Edición Estelar y por qué va a rotar, (2) cómo presentar la oferta al tendero en 60 segundos, (3) cuánto gana el tendero con la bonificación (mostrar en números concretos), (4) cómo y cuánto gana el propio vendedor</w:t>
      </w:r>
    </w:p>
    <w:p>
      <w:pPr>
        <w:spacing w:after="40"/>
      </w:pPr>
    </w:p>
    <w:p>
      <w:pPr>
        <w:spacing w:before="200" w:after="0"/>
        <w:shd w:val="clear" w:color="auto" w:fill="1C1C1C"/>
      </w:pPr>
      <w:r>
        <w:rPr>
          <w:rFonts w:ascii="Calibri" w:hAnsi="Calibri"/>
          <w:b/>
          <w:i w:val="0"/>
          <w:color w:val="999999"/>
          <w:sz w:val="18"/>
        </w:rPr>
        <w:t xml:space="preserve">  PASO 3  —  SEMANA 1</w:t>
      </w:r>
    </w:p>
    <w:p>
      <w:pPr>
        <w:spacing w:before="0" w:after="40"/>
        <w:shd w:val="clear" w:color="auto" w:fill="80CC00"/>
      </w:pPr>
      <w:r>
        <w:rPr>
          <w:rFonts w:ascii="Calibri" w:hAnsi="Calibri"/>
          <w:b/>
          <w:i w:val="0"/>
          <w:color w:val="FFFFFF"/>
          <w:sz w:val="24"/>
        </w:rPr>
        <w:t xml:space="preserve">  Kit del vendedor + incentivo individual escalonado</w:t>
      </w:r>
    </w:p>
    <w:p>
      <w:pPr>
        <w:spacing w:before="0" w:after="80"/>
        <w:ind w:left="144"/>
        <w:shd w:val="clear" w:color="auto" w:fill="F0FFCC"/>
      </w:pPr>
      <w:r>
        <w:rPr>
          <w:rFonts w:ascii="Calibri" w:hAnsi="Calibri"/>
          <w:b w:val="0"/>
          <w:i/>
          <w:color w:val="1C1C1C"/>
          <w:sz w:val="19"/>
        </w:rPr>
        <w:t xml:space="preserve">  ¿Por qué? El vendedor necesita dos cosas: herramientas para convencer al tendero y un interés propio para esforzarse más allá de su cuota habitual.</w:t>
      </w:r>
    </w:p>
    <w:p>
      <w:pPr>
        <w:pStyle w:val="ListBullet"/>
        <w:spacing w:before="0" w:after="40"/>
        <w:ind w:left="288"/>
      </w:pPr>
      <w:r>
        <w:rPr>
          <w:rFonts w:ascii="Calibri" w:hAnsi="Calibri"/>
          <w:b w:val="0"/>
          <w:i w:val="0"/>
          <w:color w:val="666666"/>
          <w:sz w:val="21"/>
        </w:rPr>
        <w:t>Kit físico por vendedor: muestra del producto + flyer A6 con la oferta resumida + QR con video corto del producto (30 seg) para mostrar en el mostrador</w:t>
      </w:r>
    </w:p>
    <w:p>
      <w:pPr>
        <w:pStyle w:val="ListBullet"/>
        <w:spacing w:before="0" w:after="40"/>
        <w:ind w:left="288"/>
      </w:pPr>
      <w:r>
        <w:rPr>
          <w:rFonts w:ascii="Calibri" w:hAnsi="Calibri"/>
          <w:b w:val="0"/>
          <w:i w:val="0"/>
          <w:color w:val="666666"/>
          <w:sz w:val="21"/>
        </w:rPr>
        <w:t>Bono escalonado: 10–19 tiendas codificadas = Nivel 1 | 20–34 tiendas = Nivel 2 | 35+ tiendas = Nivel 3 + reconocimiento público</w:t>
      </w:r>
    </w:p>
    <w:p>
      <w:pPr>
        <w:pStyle w:val="ListBullet"/>
        <w:spacing w:before="0" w:after="40"/>
        <w:ind w:left="288"/>
      </w:pPr>
      <w:r>
        <w:rPr>
          <w:rFonts w:ascii="Calibri" w:hAnsi="Calibri"/>
          <w:b w:val="0"/>
          <w:i w:val="0"/>
          <w:color w:val="666666"/>
          <w:sz w:val="21"/>
        </w:rPr>
        <w:t>El escalamiento es clave: el vendedor que llega a 10 quiere llegar a 20</w:t>
      </w:r>
    </w:p>
    <w:p>
      <w:pPr>
        <w:spacing w:after="40"/>
      </w:pPr>
    </w:p>
    <w:p>
      <w:pPr>
        <w:spacing w:before="200" w:after="0"/>
        <w:shd w:val="clear" w:color="auto" w:fill="1C1C1C"/>
      </w:pPr>
      <w:r>
        <w:rPr>
          <w:rFonts w:ascii="Calibri" w:hAnsi="Calibri"/>
          <w:b/>
          <w:i w:val="0"/>
          <w:color w:val="999999"/>
          <w:sz w:val="18"/>
        </w:rPr>
        <w:t xml:space="preserve">  PASO 4  —  SEMANAS 2–4</w:t>
      </w:r>
    </w:p>
    <w:p>
      <w:pPr>
        <w:spacing w:before="0" w:after="40"/>
        <w:shd w:val="clear" w:color="auto" w:fill="80CC00"/>
      </w:pPr>
      <w:r>
        <w:rPr>
          <w:rFonts w:ascii="Calibri" w:hAnsi="Calibri"/>
          <w:b/>
          <w:i w:val="0"/>
          <w:color w:val="FFFFFF"/>
          <w:sz w:val="24"/>
        </w:rPr>
        <w:t xml:space="preserve">  Seguimiento semanal, ranking y cierre</w:t>
      </w:r>
    </w:p>
    <w:p>
      <w:pPr>
        <w:spacing w:before="0" w:after="80"/>
        <w:ind w:left="144"/>
        <w:shd w:val="clear" w:color="auto" w:fill="F0FFCC"/>
      </w:pPr>
      <w:r>
        <w:rPr>
          <w:rFonts w:ascii="Calibri" w:hAnsi="Calibri"/>
          <w:b w:val="0"/>
          <w:i/>
          <w:color w:val="1C1C1C"/>
          <w:sz w:val="19"/>
        </w:rPr>
        <w:t xml:space="preserve">  ¿Por qué? Sin seguimiento, el lanzamiento muere en la semana 1. El ranking visible genera competencia positiva entre vendedores y zonas.</w:t>
      </w:r>
    </w:p>
    <w:p>
      <w:pPr>
        <w:pStyle w:val="ListBullet"/>
        <w:spacing w:before="0" w:after="40"/>
        <w:ind w:left="288"/>
      </w:pPr>
      <w:r>
        <w:rPr>
          <w:rFonts w:ascii="Calibri" w:hAnsi="Calibri"/>
          <w:b w:val="0"/>
          <w:i w:val="0"/>
          <w:color w:val="666666"/>
          <w:sz w:val="21"/>
        </w:rPr>
        <w:t>Dashboard compartido con el distribuidor: codificaciones por vendedor / ruta / ciudad — actualizado cada semana</w:t>
      </w:r>
    </w:p>
    <w:p>
      <w:pPr>
        <w:pStyle w:val="ListBullet"/>
        <w:spacing w:before="0" w:after="40"/>
        <w:ind w:left="288"/>
      </w:pPr>
      <w:r>
        <w:rPr>
          <w:rFonts w:ascii="Calibri" w:hAnsi="Calibri"/>
          <w:b w:val="0"/>
          <w:i w:val="0"/>
          <w:color w:val="666666"/>
          <w:sz w:val="21"/>
        </w:rPr>
        <w:t>Ranking semanal enviado por WhatsApp al grupo de ventas del distribuidor (Top 10 visible para todos — la transparencia activa la competencia)</w:t>
      </w:r>
    </w:p>
    <w:p>
      <w:pPr>
        <w:pStyle w:val="ListBullet"/>
        <w:spacing w:before="0" w:after="40"/>
        <w:ind w:left="288"/>
      </w:pPr>
      <w:r>
        <w:rPr>
          <w:rFonts w:ascii="Calibri" w:hAnsi="Calibri"/>
          <w:b w:val="0"/>
          <w:i w:val="0"/>
          <w:color w:val="666666"/>
          <w:sz w:val="21"/>
        </w:rPr>
        <w:t>El ejecutivo comercial de Ecuador hace seguimiento con la jefatura del distribuidor dos veces por semana durante el período de lanzamiento</w:t>
      </w:r>
    </w:p>
    <w:p>
      <w:pPr>
        <w:pStyle w:val="ListBullet"/>
        <w:spacing w:before="0" w:after="40"/>
        <w:ind w:left="288"/>
      </w:pPr>
      <w:r>
        <w:rPr>
          <w:rFonts w:ascii="Calibri" w:hAnsi="Calibri"/>
          <w:b w:val="0"/>
          <w:i w:val="0"/>
          <w:color w:val="666666"/>
          <w:sz w:val="21"/>
        </w:rPr>
        <w:t>Cierre semana 4: entrega de bonos + reconocimiento del Top 10 en reunión o video grupal con el equipo de Super — el cierre público refuerza la cultura de logro</w:t>
      </w:r>
    </w:p>
    <w:p>
      <w:pPr>
        <w:spacing w:after="40"/>
      </w:pPr>
    </w:p>
    <w:p>
      <w:pPr>
        <w:spacing w:before="280" w:after="80"/>
        <w:pBdr>
          <w:bottom w:val="single" w:sz="12" w:color="80CC00"/>
        </w:pBdr>
      </w:pPr>
      <w:r>
        <w:rPr>
          <w:rFonts w:ascii="Calibri" w:hAnsi="Calibri"/>
          <w:b/>
          <w:i w:val="0"/>
          <w:color w:val="1C1C1C"/>
          <w:sz w:val="30"/>
        </w:rPr>
        <w:t>4. Indicadores de Éxito — Semana 4</w:t>
      </w:r>
    </w:p>
    <w:tbl>
      <w:tblPr>
        <w:tblStyle w:val="TableGrid"/>
        <w:tblW w:type="auto" w:w="0"/>
        <w:jc w:val="center"/>
        <w:tblLook w:firstColumn="1" w:firstRow="1" w:lastColumn="0" w:lastRow="0" w:noHBand="0" w:noVBand="1" w:val="04A0"/>
      </w:tblPr>
      <w:tblGrid>
        <w:gridCol w:w="3249"/>
        <w:gridCol w:w="3249"/>
        <w:gridCol w:w="3249"/>
      </w:tblGrid>
      <w:tr>
        <w:tc>
          <w:tcPr>
            <w:tcW w:type="dxa" w:w="4032"/>
            <w:shd w:val="clear" w:color="auto" w:fill="80CC00"/>
          </w:tcPr>
          <w:p>
            <w:pPr>
              <w:spacing w:before="60" w:after="60"/>
              <w:jc w:val="center"/>
            </w:pPr>
            <w:r>
              <w:rPr>
                <w:rFonts w:ascii="Calibri" w:hAnsi="Calibri"/>
                <w:b/>
                <w:i w:val="0"/>
                <w:color w:val="FFFFFF"/>
                <w:sz w:val="20"/>
              </w:rPr>
              <w:t>Indicador</w:t>
            </w:r>
          </w:p>
        </w:tc>
        <w:tc>
          <w:tcPr>
            <w:tcW w:type="dxa" w:w="2592"/>
            <w:shd w:val="clear" w:color="auto" w:fill="80CC00"/>
          </w:tcPr>
          <w:p>
            <w:pPr>
              <w:spacing w:before="60" w:after="60"/>
              <w:jc w:val="center"/>
            </w:pPr>
            <w:r>
              <w:rPr>
                <w:rFonts w:ascii="Calibri" w:hAnsi="Calibri"/>
                <w:b/>
                <w:i w:val="0"/>
                <w:color w:val="FFFFFF"/>
                <w:sz w:val="20"/>
              </w:rPr>
              <w:t>Meta semana 4</w:t>
            </w:r>
          </w:p>
        </w:tc>
        <w:tc>
          <w:tcPr>
            <w:tcW w:type="dxa" w:w="3168"/>
            <w:shd w:val="clear" w:color="auto" w:fill="80CC00"/>
          </w:tcPr>
          <w:p>
            <w:pPr>
              <w:spacing w:before="60" w:after="60"/>
              <w:jc w:val="center"/>
            </w:pPr>
            <w:r>
              <w:rPr>
                <w:rFonts w:ascii="Calibri" w:hAnsi="Calibri"/>
                <w:b/>
                <w:i w:val="0"/>
                <w:color w:val="FFFFFF"/>
                <w:sz w:val="20"/>
              </w:rPr>
              <w:t>Responsable</w:t>
            </w:r>
          </w:p>
        </w:tc>
      </w:tr>
      <w:tr>
        <w:tc>
          <w:tcPr>
            <w:tcW w:type="dxa" w:w="4032"/>
            <w:shd w:val="clear" w:color="auto" w:fill="F5F5F5"/>
          </w:tcPr>
          <w:p>
            <w:pPr>
              <w:spacing w:before="40" w:after="40"/>
            </w:pPr>
            <w:r>
              <w:rPr>
                <w:rFonts w:ascii="Calibri" w:hAnsi="Calibri"/>
                <w:b/>
                <w:i w:val="0"/>
                <w:color w:val="1C1C1C"/>
                <w:sz w:val="20"/>
              </w:rPr>
              <w:t>Tiendas codificadas / universo atendido</w:t>
            </w:r>
          </w:p>
        </w:tc>
        <w:tc>
          <w:tcPr>
            <w:tcW w:type="dxa" w:w="2592"/>
            <w:shd w:val="clear" w:color="auto" w:fill="F5F5F5"/>
          </w:tcPr>
          <w:p>
            <w:pPr>
              <w:spacing w:before="40" w:after="40"/>
            </w:pPr>
            <w:r>
              <w:rPr>
                <w:rFonts w:ascii="Calibri" w:hAnsi="Calibri"/>
                <w:b w:val="0"/>
                <w:i w:val="0"/>
                <w:color w:val="666666"/>
                <w:sz w:val="20"/>
              </w:rPr>
              <w:t>≥ 60 %</w:t>
            </w:r>
          </w:p>
        </w:tc>
        <w:tc>
          <w:tcPr>
            <w:tcW w:type="dxa" w:w="3168"/>
            <w:shd w:val="clear" w:color="auto" w:fill="F5F5F5"/>
          </w:tcPr>
          <w:p>
            <w:pPr>
              <w:spacing w:before="40" w:after="40"/>
            </w:pPr>
            <w:r>
              <w:rPr>
                <w:rFonts w:ascii="Calibri" w:hAnsi="Calibri"/>
                <w:b w:val="0"/>
                <w:i w:val="0"/>
                <w:color w:val="666666"/>
                <w:sz w:val="20"/>
              </w:rPr>
              <w:t>Ejecutivo Comercial + Distribuidor</w:t>
            </w:r>
          </w:p>
        </w:tc>
      </w:tr>
      <w:tr>
        <w:tc>
          <w:tcPr>
            <w:tcW w:type="dxa" w:w="4032"/>
            <w:shd w:val="clear" w:color="auto" w:fill="FFFFFF"/>
          </w:tcPr>
          <w:p>
            <w:pPr>
              <w:spacing w:before="40" w:after="40"/>
            </w:pPr>
            <w:r>
              <w:rPr>
                <w:rFonts w:ascii="Calibri" w:hAnsi="Calibri"/>
                <w:b/>
                <w:i w:val="0"/>
                <w:color w:val="1C1C1C"/>
                <w:sz w:val="20"/>
              </w:rPr>
              <w:t>Vendedores activos en la campaña</w:t>
            </w:r>
          </w:p>
        </w:tc>
        <w:tc>
          <w:tcPr>
            <w:tcW w:type="dxa" w:w="2592"/>
            <w:shd w:val="clear" w:color="auto" w:fill="FFFFFF"/>
          </w:tcPr>
          <w:p>
            <w:pPr>
              <w:spacing w:before="40" w:after="40"/>
            </w:pPr>
            <w:r>
              <w:rPr>
                <w:rFonts w:ascii="Calibri" w:hAnsi="Calibri"/>
                <w:b w:val="0"/>
                <w:i w:val="0"/>
                <w:color w:val="666666"/>
                <w:sz w:val="20"/>
              </w:rPr>
              <w:t>≥ 80 % de los 785</w:t>
            </w:r>
          </w:p>
        </w:tc>
        <w:tc>
          <w:tcPr>
            <w:tcW w:type="dxa" w:w="3168"/>
            <w:shd w:val="clear" w:color="auto" w:fill="FFFFFF"/>
          </w:tcPr>
          <w:p>
            <w:pPr>
              <w:spacing w:before="40" w:after="40"/>
            </w:pPr>
            <w:r>
              <w:rPr>
                <w:rFonts w:ascii="Calibri" w:hAnsi="Calibri"/>
                <w:b w:val="0"/>
                <w:i w:val="0"/>
                <w:color w:val="666666"/>
                <w:sz w:val="20"/>
              </w:rPr>
              <w:t>Jefatura de Ventas Distribuidor</w:t>
            </w:r>
          </w:p>
        </w:tc>
      </w:tr>
      <w:tr>
        <w:tc>
          <w:tcPr>
            <w:tcW w:type="dxa" w:w="4032"/>
            <w:shd w:val="clear" w:color="auto" w:fill="F5F5F5"/>
          </w:tcPr>
          <w:p>
            <w:pPr>
              <w:spacing w:before="40" w:after="40"/>
            </w:pPr>
            <w:r>
              <w:rPr>
                <w:rFonts w:ascii="Calibri" w:hAnsi="Calibri"/>
                <w:b/>
                <w:i w:val="0"/>
                <w:color w:val="1C1C1C"/>
                <w:sz w:val="20"/>
              </w:rPr>
              <w:t>Unidades vendidas Edición Estelar</w:t>
            </w:r>
          </w:p>
        </w:tc>
        <w:tc>
          <w:tcPr>
            <w:tcW w:type="dxa" w:w="2592"/>
            <w:shd w:val="clear" w:color="auto" w:fill="F5F5F5"/>
          </w:tcPr>
          <w:p>
            <w:pPr>
              <w:spacing w:before="40" w:after="40"/>
            </w:pPr>
            <w:r>
              <w:rPr>
                <w:rFonts w:ascii="Calibri" w:hAnsi="Calibri"/>
                <w:b w:val="0"/>
                <w:i w:val="0"/>
                <w:color w:val="666666"/>
                <w:sz w:val="20"/>
              </w:rPr>
              <w:t>Según forecast de lanzamiento</w:t>
            </w:r>
          </w:p>
        </w:tc>
        <w:tc>
          <w:tcPr>
            <w:tcW w:type="dxa" w:w="3168"/>
            <w:shd w:val="clear" w:color="auto" w:fill="F5F5F5"/>
          </w:tcPr>
          <w:p>
            <w:pPr>
              <w:spacing w:before="40" w:after="40"/>
            </w:pPr>
            <w:r>
              <w:rPr>
                <w:rFonts w:ascii="Calibri" w:hAnsi="Calibri"/>
                <w:b w:val="0"/>
                <w:i w:val="0"/>
                <w:color w:val="666666"/>
                <w:sz w:val="20"/>
              </w:rPr>
              <w:t>Trade Marketing</w:t>
            </w:r>
          </w:p>
        </w:tc>
      </w:tr>
      <w:tr>
        <w:tc>
          <w:tcPr>
            <w:tcW w:type="dxa" w:w="4032"/>
            <w:shd w:val="clear" w:color="auto" w:fill="FFFFFF"/>
          </w:tcPr>
          <w:p>
            <w:pPr>
              <w:spacing w:before="40" w:after="40"/>
            </w:pPr>
            <w:r>
              <w:rPr>
                <w:rFonts w:ascii="Calibri" w:hAnsi="Calibri"/>
                <w:b/>
                <w:i w:val="0"/>
                <w:color w:val="1C1C1C"/>
                <w:sz w:val="20"/>
              </w:rPr>
              <w:t>Tenderos con recompra antes de día 15</w:t>
            </w:r>
          </w:p>
        </w:tc>
        <w:tc>
          <w:tcPr>
            <w:tcW w:type="dxa" w:w="2592"/>
            <w:shd w:val="clear" w:color="auto" w:fill="FFFFFF"/>
          </w:tcPr>
          <w:p>
            <w:pPr>
              <w:spacing w:before="40" w:after="40"/>
            </w:pPr>
            <w:r>
              <w:rPr>
                <w:rFonts w:ascii="Calibri" w:hAnsi="Calibri"/>
                <w:b w:val="0"/>
                <w:i w:val="0"/>
                <w:color w:val="666666"/>
                <w:sz w:val="20"/>
              </w:rPr>
              <w:t>≥ 30 % de codificadores</w:t>
            </w:r>
          </w:p>
        </w:tc>
        <w:tc>
          <w:tcPr>
            <w:tcW w:type="dxa" w:w="3168"/>
            <w:shd w:val="clear" w:color="auto" w:fill="FFFFFF"/>
          </w:tcPr>
          <w:p>
            <w:pPr>
              <w:spacing w:before="40" w:after="40"/>
            </w:pPr>
            <w:r>
              <w:rPr>
                <w:rFonts w:ascii="Calibri" w:hAnsi="Calibri"/>
                <w:b w:val="0"/>
                <w:i w:val="0"/>
                <w:color w:val="666666"/>
                <w:sz w:val="20"/>
              </w:rPr>
              <w:t>Vendedor + Ejecutivo</w:t>
            </w:r>
          </w:p>
        </w:tc>
      </w:tr>
      <w:tr>
        <w:tc>
          <w:tcPr>
            <w:tcW w:type="dxa" w:w="4032"/>
            <w:shd w:val="clear" w:color="auto" w:fill="F5F5F5"/>
          </w:tcPr>
          <w:p>
            <w:pPr>
              <w:spacing w:before="40" w:after="40"/>
            </w:pPr>
            <w:r>
              <w:rPr>
                <w:rFonts w:ascii="Calibri" w:hAnsi="Calibri"/>
                <w:b/>
                <w:i w:val="0"/>
                <w:color w:val="1C1C1C"/>
                <w:sz w:val="20"/>
              </w:rPr>
              <w:t>Exhibidores instalados</w:t>
            </w:r>
          </w:p>
        </w:tc>
        <w:tc>
          <w:tcPr>
            <w:tcW w:type="dxa" w:w="2592"/>
            <w:shd w:val="clear" w:color="auto" w:fill="F5F5F5"/>
          </w:tcPr>
          <w:p>
            <w:pPr>
              <w:spacing w:before="40" w:after="40"/>
            </w:pPr>
            <w:r>
              <w:rPr>
                <w:rFonts w:ascii="Calibri" w:hAnsi="Calibri"/>
                <w:b w:val="0"/>
                <w:i w:val="0"/>
                <w:color w:val="666666"/>
                <w:sz w:val="20"/>
              </w:rPr>
              <w:t>200 (agotamiento del incentivo)</w:t>
            </w:r>
          </w:p>
        </w:tc>
        <w:tc>
          <w:tcPr>
            <w:tcW w:type="dxa" w:w="3168"/>
            <w:shd w:val="clear" w:color="auto" w:fill="F5F5F5"/>
          </w:tcPr>
          <w:p>
            <w:pPr>
              <w:spacing w:before="40" w:after="40"/>
            </w:pPr>
            <w:r>
              <w:rPr>
                <w:rFonts w:ascii="Calibri" w:hAnsi="Calibri"/>
                <w:b w:val="0"/>
                <w:i w:val="0"/>
                <w:color w:val="666666"/>
                <w:sz w:val="20"/>
              </w:rPr>
              <w:t>Mercaderistas + Distribuidor</w:t>
            </w:r>
          </w:p>
        </w:tc>
      </w:tr>
    </w:tbl>
    <w:p>
      <w:pPr>
        <w:spacing w:after="40"/>
      </w:pPr>
    </w:p>
    <w:p>
      <w:pPr>
        <w:spacing w:before="280" w:after="80"/>
        <w:pBdr>
          <w:bottom w:val="single" w:sz="12" w:color="80CC00"/>
        </w:pBdr>
      </w:pPr>
      <w:r>
        <w:rPr>
          <w:rFonts w:ascii="Calibri" w:hAnsi="Calibri"/>
          <w:b/>
          <w:i w:val="0"/>
          <w:color w:val="1C1C1C"/>
          <w:sz w:val="30"/>
        </w:rPr>
        <w:t>5. Resumen Ejecutivo</w:t>
      </w:r>
    </w:p>
    <w:p>
      <w:pPr>
        <w:spacing w:before="160" w:after="0"/>
        <w:shd w:val="clear" w:color="auto" w:fill="80CC00"/>
      </w:pPr>
      <w:r>
        <w:rPr>
          <w:rFonts w:ascii="Calibri" w:hAnsi="Calibri"/>
          <w:b/>
          <w:i w:val="0"/>
          <w:color w:val="FFFFFF"/>
          <w:sz w:val="22"/>
        </w:rPr>
        <w:t xml:space="preserve">    LA OFERTA</w:t>
      </w:r>
    </w:p>
    <w:p>
      <w:pPr>
        <w:spacing w:before="0" w:after="20"/>
        <w:ind w:left="216"/>
        <w:shd w:val="clear" w:color="auto" w:fill="F0FFCC"/>
      </w:pPr>
      <w:r>
        <w:rPr>
          <w:rFonts w:ascii="Calibri" w:hAnsi="Calibri"/>
          <w:b w:val="0"/>
          <w:i w:val="0"/>
          <w:color w:val="1C1C1C"/>
          <w:sz w:val="20"/>
        </w:rPr>
        <w:t xml:space="preserve">  Entrada: 48 und (2 displays) + 12 % dcto + exhibidor gratis (primeros 200)</w:t>
      </w:r>
    </w:p>
    <w:p>
      <w:pPr>
        <w:spacing w:before="0" w:after="20"/>
        <w:ind w:left="216"/>
        <w:shd w:val="clear" w:color="auto" w:fill="F0FFCC"/>
      </w:pPr>
      <w:r>
        <w:rPr>
          <w:rFonts w:ascii="Calibri" w:hAnsi="Calibri"/>
          <w:b w:val="0"/>
          <w:i w:val="0"/>
          <w:color w:val="1C1C1C"/>
          <w:sz w:val="20"/>
        </w:rPr>
        <w:t xml:space="preserve">  Beneficio inmediato: bonificación 1×12 + sticker fachada + sorteo mensual</w:t>
      </w:r>
    </w:p>
    <w:p>
      <w:pPr>
        <w:spacing w:before="0" w:after="20"/>
        <w:ind w:left="216"/>
        <w:shd w:val="clear" w:color="auto" w:fill="F0FFCC"/>
      </w:pPr>
      <w:r>
        <w:rPr>
          <w:rFonts w:ascii="Calibri" w:hAnsi="Calibri"/>
          <w:b w:val="0"/>
          <w:i w:val="0"/>
          <w:color w:val="1C1C1C"/>
          <w:sz w:val="20"/>
        </w:rPr>
        <w:t xml:space="preserve">  Recompra: +5 % dcto si repone antes de 15 días  |  "Estrella Constante" a los 3 pedidos</w:t>
      </w:r>
    </w:p>
    <w:p>
      <w:pPr>
        <w:spacing w:before="0" w:after="120"/>
      </w:pPr>
    </w:p>
    <w:p>
      <w:pPr>
        <w:spacing w:before="160" w:after="0"/>
        <w:shd w:val="clear" w:color="auto" w:fill="80CC00"/>
      </w:pPr>
      <w:r>
        <w:rPr>
          <w:rFonts w:ascii="Calibri" w:hAnsi="Calibri"/>
          <w:b/>
          <w:i w:val="0"/>
          <w:color w:val="FFFFFF"/>
          <w:sz w:val="22"/>
        </w:rPr>
        <w:t xml:space="preserve">    LA LLEGADA A 785 VENDEDORES</w:t>
      </w:r>
    </w:p>
    <w:p>
      <w:pPr>
        <w:spacing w:before="0" w:after="20"/>
        <w:ind w:left="216"/>
        <w:shd w:val="clear" w:color="auto" w:fill="F0FFCC"/>
      </w:pPr>
      <w:r>
        <w:rPr>
          <w:rFonts w:ascii="Calibri" w:hAnsi="Calibri"/>
          <w:b w:val="0"/>
          <w:i w:val="0"/>
          <w:color w:val="1C1C1C"/>
          <w:sz w:val="20"/>
        </w:rPr>
        <w:t xml:space="preserve">  Semana 0: Cúpula del distribuidor convencida con kit + metas acordadas</w:t>
      </w:r>
    </w:p>
    <w:p>
      <w:pPr>
        <w:spacing w:before="0" w:after="20"/>
        <w:ind w:left="216"/>
        <w:shd w:val="clear" w:color="auto" w:fill="F0FFCC"/>
      </w:pPr>
      <w:r>
        <w:rPr>
          <w:rFonts w:ascii="Calibri" w:hAnsi="Calibri"/>
          <w:b w:val="0"/>
          <w:i w:val="0"/>
          <w:color w:val="1C1C1C"/>
          <w:sz w:val="20"/>
        </w:rPr>
        <w:t xml:space="preserve">  Semana 1: Capacitación en grupos de 100 (30 min) + kit por vendedor + bono escalonado</w:t>
      </w:r>
    </w:p>
    <w:p>
      <w:pPr>
        <w:spacing w:before="0" w:after="20"/>
        <w:ind w:left="216"/>
        <w:shd w:val="clear" w:color="auto" w:fill="F0FFCC"/>
      </w:pPr>
      <w:r>
        <w:rPr>
          <w:rFonts w:ascii="Calibri" w:hAnsi="Calibri"/>
          <w:b w:val="0"/>
          <w:i w:val="0"/>
          <w:color w:val="1C1C1C"/>
          <w:sz w:val="20"/>
        </w:rPr>
        <w:t xml:space="preserve">  Semanas 2–4: Dashboard semanal + ranking WhatsApp + cierre con reconocimiento público</w:t>
      </w:r>
    </w:p>
    <w:p>
      <w:pPr>
        <w:spacing w:before="0" w:after="120"/>
      </w:pPr>
    </w:p>
    <w:p>
      <w:pPr>
        <w:spacing w:before="120" w:after="160"/>
        <w:ind w:left="216"/>
        <w:shd w:val="clear" w:color="auto" w:fill="1C1C1C"/>
      </w:pPr>
      <w:r>
        <w:rPr>
          <w:rFonts w:ascii="Calibri" w:hAnsi="Calibri"/>
          <w:b w:val="0"/>
          <w:i/>
          <w:color w:val="FFFFFF"/>
          <w:sz w:val="21"/>
        </w:rPr>
        <w:t xml:space="preserve">  La ventaja más grande que tiene esta campaña es que el trabajo de construcción de marca ya está hecho. Trululu es el líder de TOM. El único trabajo pendiente es capitalizar esa confianza con una referencia nueva que el tendero sienta como una oportunidad, no como un riesgo.</w:t>
      </w:r>
    </w:p>
    <w:p>
      <w:pPr>
        <w:spacing w:before="320" w:after="0"/>
        <w:jc w:val="center"/>
      </w:pPr>
      <w:r>
        <w:rPr>
          <w:rFonts w:ascii="Calibri" w:hAnsi="Calibri"/>
          <w:b w:val="0"/>
          <w:i/>
          <w:color w:val="999999"/>
          <w:sz w:val="17"/>
        </w:rPr>
        <w:t>Super de Alimentos  ·  Assessment Analista Trade Marketing  ·  Mariana Montejo  ·  Mayo 2026</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