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68C4" w14:textId="06715FA7" w:rsidR="00797787" w:rsidRDefault="00797787" w:rsidP="00F20F51">
      <w:pPr>
        <w:pStyle w:val="Ttulo"/>
        <w:spacing w:line="276" w:lineRule="auto"/>
        <w:ind w:left="1418"/>
        <w:rPr>
          <w:sz w:val="52"/>
          <w:szCs w:val="52"/>
        </w:rPr>
      </w:pPr>
      <w:r w:rsidRPr="00797787">
        <w:rPr>
          <w:sz w:val="52"/>
          <w:szCs w:val="52"/>
        </w:rPr>
        <w:t>Conceito de Convergência</w:t>
      </w:r>
    </w:p>
    <w:p w14:paraId="319D0E4E" w14:textId="77777777" w:rsidR="00797787" w:rsidRDefault="00797787" w:rsidP="00F20F51">
      <w:pPr>
        <w:spacing w:line="276" w:lineRule="auto"/>
        <w:ind w:left="1418"/>
      </w:pPr>
    </w:p>
    <w:p w14:paraId="713A9DC6" w14:textId="77777777" w:rsidR="00797787" w:rsidRDefault="00967783" w:rsidP="00F20F51">
      <w:pPr>
        <w:spacing w:line="276" w:lineRule="auto"/>
        <w:ind w:left="1134" w:right="1133" w:firstLine="284"/>
        <w:jc w:val="both"/>
        <w:rPr>
          <w:sz w:val="24"/>
          <w:szCs w:val="24"/>
        </w:rPr>
      </w:pPr>
      <w:r>
        <w:rPr>
          <w:sz w:val="24"/>
          <w:szCs w:val="24"/>
        </w:rPr>
        <w:t>As diferentes realidades regionais do Brasil traçam dinâmicas e demandas econômicas, sociais, institucionais</w:t>
      </w:r>
      <w:r w:rsidR="00E878BC">
        <w:rPr>
          <w:sz w:val="24"/>
          <w:szCs w:val="24"/>
        </w:rPr>
        <w:t xml:space="preserve"> e ambientais</w:t>
      </w:r>
      <w:r>
        <w:rPr>
          <w:sz w:val="24"/>
          <w:szCs w:val="24"/>
        </w:rPr>
        <w:t xml:space="preserve">. Em um cenário de desigualdades, essas </w:t>
      </w:r>
      <w:r w:rsidR="00E878BC">
        <w:rPr>
          <w:sz w:val="24"/>
          <w:szCs w:val="24"/>
        </w:rPr>
        <w:t>disparidades</w:t>
      </w:r>
      <w:r>
        <w:rPr>
          <w:sz w:val="24"/>
          <w:szCs w:val="24"/>
        </w:rPr>
        <w:t xml:space="preserve"> fragmentam o tecido social, </w:t>
      </w:r>
      <w:r w:rsidR="00E878BC">
        <w:rPr>
          <w:sz w:val="24"/>
          <w:szCs w:val="24"/>
        </w:rPr>
        <w:t>provocam</w:t>
      </w:r>
      <w:r>
        <w:rPr>
          <w:sz w:val="24"/>
          <w:szCs w:val="24"/>
        </w:rPr>
        <w:t xml:space="preserve"> instabilidade e limitam o potencial de crescimento.</w:t>
      </w:r>
    </w:p>
    <w:p w14:paraId="70C3B428" w14:textId="77777777" w:rsidR="00967783" w:rsidRDefault="00967783" w:rsidP="00F20F51">
      <w:pPr>
        <w:spacing w:line="276" w:lineRule="auto"/>
        <w:ind w:left="1134" w:right="1133" w:firstLine="284"/>
        <w:jc w:val="both"/>
        <w:rPr>
          <w:sz w:val="24"/>
          <w:szCs w:val="24"/>
        </w:rPr>
      </w:pPr>
      <w:r>
        <w:rPr>
          <w:sz w:val="24"/>
          <w:szCs w:val="24"/>
        </w:rPr>
        <w:t xml:space="preserve">Diante da problemática, os estudos de convergência se </w:t>
      </w:r>
      <w:r w:rsidR="00E878BC">
        <w:rPr>
          <w:sz w:val="24"/>
          <w:szCs w:val="24"/>
        </w:rPr>
        <w:t>erguem</w:t>
      </w:r>
      <w:r>
        <w:rPr>
          <w:sz w:val="24"/>
          <w:szCs w:val="24"/>
        </w:rPr>
        <w:t xml:space="preserve"> como </w:t>
      </w:r>
      <w:r w:rsidR="00E878BC">
        <w:rPr>
          <w:sz w:val="24"/>
          <w:szCs w:val="24"/>
        </w:rPr>
        <w:t>ferramentas</w:t>
      </w:r>
      <w:r>
        <w:rPr>
          <w:sz w:val="24"/>
          <w:szCs w:val="24"/>
        </w:rPr>
        <w:t xml:space="preserve"> fundamenta</w:t>
      </w:r>
      <w:r w:rsidR="00E878BC">
        <w:rPr>
          <w:sz w:val="24"/>
          <w:szCs w:val="24"/>
        </w:rPr>
        <w:t>is</w:t>
      </w:r>
      <w:r>
        <w:rPr>
          <w:sz w:val="24"/>
          <w:szCs w:val="24"/>
        </w:rPr>
        <w:t xml:space="preserve"> para </w:t>
      </w:r>
      <w:r w:rsidR="00E878BC">
        <w:rPr>
          <w:sz w:val="24"/>
          <w:szCs w:val="24"/>
        </w:rPr>
        <w:t xml:space="preserve">explorar e desvendar as dinâmicas de aproximação ou distanciamento das diferentes realidades, contribuindo para uma melhor compreensão </w:t>
      </w:r>
      <w:r w:rsidR="00ED005B">
        <w:rPr>
          <w:sz w:val="24"/>
          <w:szCs w:val="24"/>
        </w:rPr>
        <w:t>da diversidade</w:t>
      </w:r>
      <w:r w:rsidR="00E878BC">
        <w:rPr>
          <w:sz w:val="24"/>
          <w:szCs w:val="24"/>
        </w:rPr>
        <w:t xml:space="preserve"> do país. </w:t>
      </w:r>
    </w:p>
    <w:p w14:paraId="1EE34CDB" w14:textId="3CC3C733" w:rsidR="00ED005B" w:rsidRDefault="00ED005B" w:rsidP="00173CCC">
      <w:pPr>
        <w:spacing w:line="276" w:lineRule="auto"/>
        <w:ind w:left="1134" w:right="1133" w:firstLine="284"/>
        <w:jc w:val="both"/>
        <w:rPr>
          <w:sz w:val="24"/>
          <w:szCs w:val="24"/>
        </w:rPr>
      </w:pPr>
      <w:r>
        <w:rPr>
          <w:sz w:val="24"/>
          <w:szCs w:val="24"/>
        </w:rPr>
        <w:t>A origem do termo convergência remonta ao latim, derivando de “convergere”, que significa “ter uma direção comum”, tendo seu sentido extensamente variado ao longo das áreas de estudos e contextos. De maneira geral, neste estudo, utilizaremos</w:t>
      </w:r>
      <w:r w:rsidR="00D66D35">
        <w:rPr>
          <w:sz w:val="24"/>
          <w:szCs w:val="24"/>
        </w:rPr>
        <w:t xml:space="preserve"> o conceito de</w:t>
      </w:r>
      <w:r>
        <w:rPr>
          <w:sz w:val="24"/>
          <w:szCs w:val="24"/>
        </w:rPr>
        <w:t xml:space="preserve"> convergência ascendente, </w:t>
      </w:r>
      <w:r w:rsidR="00D66D35">
        <w:rPr>
          <w:sz w:val="24"/>
          <w:szCs w:val="24"/>
        </w:rPr>
        <w:t>que é o processo de convergência em direção a melhores condições de trabalho, vida, e/ou resultados econômicos</w:t>
      </w:r>
      <w:r w:rsidR="0088693D">
        <w:rPr>
          <w:sz w:val="24"/>
          <w:szCs w:val="24"/>
        </w:rPr>
        <w:t xml:space="preserve">, </w:t>
      </w:r>
      <w:r w:rsidR="0088693D" w:rsidRPr="00D44D58">
        <w:rPr>
          <w:sz w:val="24"/>
          <w:szCs w:val="24"/>
        </w:rPr>
        <w:t>medid</w:t>
      </w:r>
      <w:r w:rsidR="00D44D58">
        <w:rPr>
          <w:sz w:val="24"/>
          <w:szCs w:val="24"/>
        </w:rPr>
        <w:t>a</w:t>
      </w:r>
      <w:r w:rsidR="0088693D" w:rsidRPr="00D44D58">
        <w:rPr>
          <w:sz w:val="24"/>
          <w:szCs w:val="24"/>
        </w:rPr>
        <w:t xml:space="preserve"> através do monitoramento de resultados e desempenho em diferentes indicadores.</w:t>
      </w:r>
      <w:r w:rsidR="00D44D58" w:rsidRPr="00D44D58">
        <w:rPr>
          <w:sz w:val="24"/>
          <w:szCs w:val="24"/>
        </w:rPr>
        <w:t xml:space="preserve"> Seu objetivo é reduzir as disparidades por meio da melhoria geral do desempenho, caminhando em direção a uma meta política mensurável (como melhores condições de vida). Essa meta política pode ser explícita</w:t>
      </w:r>
      <w:r w:rsidR="00D44D58">
        <w:rPr>
          <w:sz w:val="24"/>
          <w:szCs w:val="24"/>
        </w:rPr>
        <w:t>, como o Programa Fome Zero criado em 2003,</w:t>
      </w:r>
      <w:r w:rsidR="00D44D58" w:rsidRPr="00D44D58">
        <w:rPr>
          <w:sz w:val="24"/>
          <w:szCs w:val="24"/>
        </w:rPr>
        <w:t xml:space="preserve"> ou implícita</w:t>
      </w:r>
      <w:r w:rsidR="00D44D58">
        <w:rPr>
          <w:sz w:val="24"/>
          <w:szCs w:val="24"/>
        </w:rPr>
        <w:t xml:space="preserve">, </w:t>
      </w:r>
      <w:r w:rsidR="00D44D58" w:rsidRPr="00D44D58">
        <w:rPr>
          <w:sz w:val="24"/>
          <w:szCs w:val="24"/>
        </w:rPr>
        <w:t>quando há um consenso social de que um aumento ou diminuição em um indicador é bom</w:t>
      </w:r>
      <w:r w:rsidR="00D44D58">
        <w:rPr>
          <w:sz w:val="24"/>
          <w:szCs w:val="24"/>
        </w:rPr>
        <w:t xml:space="preserve"> </w:t>
      </w:r>
      <w:r w:rsidR="00D44D58" w:rsidRPr="00D44D58">
        <w:rPr>
          <w:sz w:val="24"/>
          <w:szCs w:val="24"/>
        </w:rPr>
        <w:t>como, por exemplo, a redução do desemprego.</w:t>
      </w:r>
    </w:p>
    <w:p w14:paraId="11083DCF" w14:textId="77777777" w:rsidR="00CC36BB" w:rsidRDefault="00E015A2" w:rsidP="00F20F51">
      <w:pPr>
        <w:spacing w:line="276" w:lineRule="auto"/>
        <w:ind w:left="1134" w:right="1133" w:firstLine="284"/>
        <w:jc w:val="both"/>
        <w:rPr>
          <w:sz w:val="24"/>
          <w:szCs w:val="24"/>
        </w:rPr>
      </w:pPr>
      <w:r w:rsidRPr="00E015A2">
        <w:rPr>
          <w:sz w:val="24"/>
          <w:szCs w:val="24"/>
        </w:rPr>
        <w:t xml:space="preserve">De acordo com </w:t>
      </w:r>
      <w:proofErr w:type="spellStart"/>
      <w:r w:rsidRPr="00E015A2">
        <w:rPr>
          <w:sz w:val="24"/>
          <w:szCs w:val="24"/>
        </w:rPr>
        <w:t>Heichel</w:t>
      </w:r>
      <w:proofErr w:type="spellEnd"/>
      <w:r w:rsidRPr="00E015A2">
        <w:rPr>
          <w:sz w:val="24"/>
          <w:szCs w:val="24"/>
        </w:rPr>
        <w:t xml:space="preserve"> et al (2005), ao analisar políticas, há quatro maneiras principais pelas quais os pesquisadores conceituam a medição da convergência no desempenho</w:t>
      </w:r>
      <w:r w:rsidR="00CC36BB">
        <w:rPr>
          <w:sz w:val="24"/>
          <w:szCs w:val="24"/>
        </w:rPr>
        <w:t xml:space="preserve">: beta convergência, sigma convergência, </w:t>
      </w:r>
      <w:proofErr w:type="spellStart"/>
      <w:r w:rsidR="00CC36BB">
        <w:rPr>
          <w:sz w:val="24"/>
          <w:szCs w:val="24"/>
        </w:rPr>
        <w:t>gamma</w:t>
      </w:r>
      <w:proofErr w:type="spellEnd"/>
      <w:r w:rsidR="00CC36BB">
        <w:rPr>
          <w:sz w:val="24"/>
          <w:szCs w:val="24"/>
        </w:rPr>
        <w:t xml:space="preserve"> convergência e delta convergência.</w:t>
      </w:r>
    </w:p>
    <w:p w14:paraId="4FA72AD7" w14:textId="4D60D02E" w:rsidR="005B0A5D" w:rsidRDefault="005B0A5D" w:rsidP="00F20F51">
      <w:pPr>
        <w:pStyle w:val="Ttulo2"/>
        <w:ind w:left="1418"/>
      </w:pPr>
      <w:r>
        <w:t>Beta Convergência</w:t>
      </w:r>
    </w:p>
    <w:p w14:paraId="51C0F0C2" w14:textId="54362C56" w:rsidR="005B0A5D" w:rsidRPr="005B0A5D" w:rsidRDefault="005B0A5D" w:rsidP="00F20F51">
      <w:pPr>
        <w:pStyle w:val="NormalWeb"/>
        <w:spacing w:line="276" w:lineRule="auto"/>
        <w:ind w:left="1134" w:right="1134" w:firstLine="284"/>
        <w:jc w:val="both"/>
        <w:rPr>
          <w:rFonts w:asciiTheme="minorHAnsi" w:hAnsiTheme="minorHAnsi" w:cstheme="minorHAnsi"/>
        </w:rPr>
      </w:pPr>
      <w:r w:rsidRPr="005B0A5D">
        <w:rPr>
          <w:rFonts w:asciiTheme="minorHAnsi" w:hAnsiTheme="minorHAnsi" w:cstheme="minorHAnsi"/>
        </w:rPr>
        <w:t xml:space="preserve">A beta-convergência é </w:t>
      </w:r>
      <w:r>
        <w:rPr>
          <w:rFonts w:asciiTheme="minorHAnsi" w:hAnsiTheme="minorHAnsi" w:cstheme="minorHAnsi"/>
        </w:rPr>
        <w:t>o</w:t>
      </w:r>
      <w:r w:rsidRPr="005B0A5D">
        <w:rPr>
          <w:rFonts w:asciiTheme="minorHAnsi" w:hAnsiTheme="minorHAnsi" w:cstheme="minorHAnsi"/>
        </w:rPr>
        <w:t xml:space="preserve"> processo </w:t>
      </w:r>
      <w:r>
        <w:rPr>
          <w:rFonts w:asciiTheme="minorHAnsi" w:hAnsiTheme="minorHAnsi" w:cstheme="minorHAnsi"/>
        </w:rPr>
        <w:t>em que os países</w:t>
      </w:r>
      <w:r w:rsidRPr="005B0A5D">
        <w:rPr>
          <w:rFonts w:asciiTheme="minorHAnsi" w:hAnsiTheme="minorHAnsi" w:cstheme="minorHAnsi"/>
        </w:rPr>
        <w:t xml:space="preserve"> mais pobres crescem mais rapidamente do que os ricos. De acordo com a teoria neoclássica do crescimento, economias que possuem os mesmos parâmetros estruturais (nível de tecnologia, propensão a poupar, crescimento populacional e depreciação de capital) experimentam uma beta-convergência 'incondicional' (ou absoluta) e eventualmente convergem para o mesmo nível estacionário de capital por trabalhador e PIB per capita (Solow, 1956).</w:t>
      </w:r>
    </w:p>
    <w:p w14:paraId="51C93677" w14:textId="6A9A6AC4" w:rsidR="005B0A5D" w:rsidRDefault="005B0A5D" w:rsidP="00F20F51">
      <w:pPr>
        <w:pStyle w:val="NormalWeb"/>
        <w:spacing w:line="276" w:lineRule="auto"/>
        <w:ind w:left="1134" w:right="1134" w:firstLine="284"/>
        <w:jc w:val="both"/>
        <w:rPr>
          <w:rFonts w:asciiTheme="minorHAnsi" w:hAnsiTheme="minorHAnsi" w:cstheme="minorHAnsi"/>
        </w:rPr>
      </w:pPr>
      <w:r w:rsidRPr="005B0A5D">
        <w:rPr>
          <w:rFonts w:asciiTheme="minorHAnsi" w:hAnsiTheme="minorHAnsi" w:cstheme="minorHAnsi"/>
        </w:rPr>
        <w:t xml:space="preserve">Além de testar essa hipótese clássica de convergência de renda, a análise da beta-convergência pode ser aplicada a outras variáveis de interesse para avaliar se países ou regiões mais pobres </w:t>
      </w:r>
      <w:r>
        <w:rPr>
          <w:rFonts w:asciiTheme="minorHAnsi" w:hAnsiTheme="minorHAnsi" w:cstheme="minorHAnsi"/>
        </w:rPr>
        <w:t>crescem mais rápido que</w:t>
      </w:r>
      <w:r w:rsidRPr="005B0A5D">
        <w:rPr>
          <w:rFonts w:asciiTheme="minorHAnsi" w:hAnsiTheme="minorHAnsi" w:cstheme="minorHAnsi"/>
        </w:rPr>
        <w:t xml:space="preserve"> os mais bem-sucedidos (ver, por exemplo, </w:t>
      </w:r>
      <w:proofErr w:type="spellStart"/>
      <w:r w:rsidRPr="005B0A5D">
        <w:rPr>
          <w:rFonts w:asciiTheme="minorHAnsi" w:hAnsiTheme="minorHAnsi" w:cstheme="minorHAnsi"/>
        </w:rPr>
        <w:t>Signorelli</w:t>
      </w:r>
      <w:proofErr w:type="spellEnd"/>
      <w:r w:rsidRPr="005B0A5D">
        <w:rPr>
          <w:rFonts w:asciiTheme="minorHAnsi" w:hAnsiTheme="minorHAnsi" w:cstheme="minorHAnsi"/>
        </w:rPr>
        <w:t>, 2005 para uma análise da convergência das taxas de emprego). Tecnicamente, o cálculo da beta-convergência incondicional envolve estimar a seguinte regressão:</w:t>
      </w:r>
    </w:p>
    <w:p w14:paraId="62BE8586" w14:textId="64C73BE6" w:rsidR="009B656E" w:rsidRPr="00150BD8" w:rsidRDefault="009B656E" w:rsidP="00F20F51">
      <w:pPr>
        <w:pStyle w:val="NormalWeb"/>
        <w:spacing w:line="276" w:lineRule="auto"/>
        <w:ind w:left="1134" w:right="1134" w:firstLine="284"/>
        <w:jc w:val="both"/>
        <w:rPr>
          <w:rFonts w:asciiTheme="minorHAnsi" w:hAnsiTheme="minorHAnsi" w:cstheme="minorHAnsi"/>
          <w:color w:val="40739B" w:themeColor="background2" w:themeShade="80"/>
        </w:rPr>
      </w:pPr>
      <m:oMathPara>
        <m:oMath>
          <m:func>
            <m:funcPr>
              <m:ctrlPr>
                <w:rPr>
                  <w:rFonts w:ascii="Cambria Math" w:hAnsi="Cambria Math" w:cstheme="minorHAnsi"/>
                  <w:i/>
                  <w:color w:val="40739B" w:themeColor="background2" w:themeShade="80"/>
                  <w:sz w:val="28"/>
                  <w:szCs w:val="28"/>
                </w:rPr>
              </m:ctrlPr>
            </m:funcPr>
            <m:fName>
              <m:r>
                <m:rPr>
                  <m:sty m:val="p"/>
                </m:rPr>
                <w:rPr>
                  <w:rFonts w:ascii="Cambria Math" w:hAnsi="Cambria Math" w:cstheme="minorHAnsi"/>
                  <w:color w:val="40739B" w:themeColor="background2" w:themeShade="80"/>
                  <w:sz w:val="28"/>
                  <w:szCs w:val="28"/>
                </w:rPr>
                <m:t>ln</m:t>
              </m:r>
            </m:fName>
            <m:e>
              <m:d>
                <m:dPr>
                  <m:ctrlPr>
                    <w:rPr>
                      <w:rFonts w:ascii="Cambria Math" w:hAnsi="Cambria Math" w:cstheme="minorHAnsi"/>
                      <w:i/>
                      <w:color w:val="40739B" w:themeColor="background2" w:themeShade="80"/>
                      <w:sz w:val="28"/>
                      <w:szCs w:val="28"/>
                    </w:rPr>
                  </m:ctrlPr>
                </m:dPr>
                <m:e>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∆y</m:t>
                      </m:r>
                    </m:e>
                    <m:sub>
                      <m:r>
                        <w:rPr>
                          <w:rFonts w:ascii="Cambria Math" w:hAnsi="Cambria Math" w:cstheme="minorHAnsi"/>
                          <w:color w:val="40739B" w:themeColor="background2" w:themeShade="80"/>
                          <w:sz w:val="28"/>
                          <w:szCs w:val="28"/>
                        </w:rPr>
                        <m:t>i,t</m:t>
                      </m:r>
                    </m:sub>
                  </m:sSub>
                </m:e>
              </m:d>
              <m:r>
                <w:rPr>
                  <w:rFonts w:ascii="Cambria Math" w:hAnsi="Cambria Math" w:cstheme="minorHAnsi"/>
                  <w:color w:val="40739B" w:themeColor="background2" w:themeShade="80"/>
                  <w:sz w:val="28"/>
                  <w:szCs w:val="28"/>
                </w:rPr>
                <m:t xml:space="preserve">= α+ β </m:t>
              </m:r>
              <m:func>
                <m:funcPr>
                  <m:ctrlPr>
                    <w:rPr>
                      <w:rFonts w:ascii="Cambria Math" w:hAnsi="Cambria Math" w:cstheme="minorHAnsi"/>
                      <w:i/>
                      <w:color w:val="40739B" w:themeColor="background2" w:themeShade="80"/>
                      <w:sz w:val="28"/>
                      <w:szCs w:val="28"/>
                    </w:rPr>
                  </m:ctrlPr>
                </m:funcPr>
                <m:fName>
                  <m:r>
                    <m:rPr>
                      <m:sty m:val="p"/>
                    </m:rPr>
                    <w:rPr>
                      <w:rFonts w:ascii="Cambria Math" w:hAnsi="Cambria Math" w:cstheme="minorHAnsi"/>
                      <w:color w:val="40739B" w:themeColor="background2" w:themeShade="80"/>
                      <w:sz w:val="28"/>
                      <w:szCs w:val="28"/>
                    </w:rPr>
                    <m:t>ln</m:t>
                  </m:r>
                </m:fName>
                <m:e>
                  <m:d>
                    <m:dPr>
                      <m:ctrlPr>
                        <w:rPr>
                          <w:rFonts w:ascii="Cambria Math" w:hAnsi="Cambria Math" w:cstheme="minorHAnsi"/>
                          <w:i/>
                          <w:color w:val="40739B" w:themeColor="background2" w:themeShade="80"/>
                          <w:sz w:val="28"/>
                          <w:szCs w:val="28"/>
                        </w:rPr>
                      </m:ctrlPr>
                    </m:dPr>
                    <m:e>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y</m:t>
                          </m:r>
                        </m:e>
                        <m:sub>
                          <m:r>
                            <w:rPr>
                              <w:rFonts w:ascii="Cambria Math" w:hAnsi="Cambria Math" w:cstheme="minorHAnsi"/>
                              <w:color w:val="40739B" w:themeColor="background2" w:themeShade="80"/>
                              <w:sz w:val="28"/>
                              <w:szCs w:val="28"/>
                            </w:rPr>
                            <m:t>i,t-1</m:t>
                          </m:r>
                        </m:sub>
                      </m:sSub>
                    </m:e>
                  </m:d>
                  <m:r>
                    <w:rPr>
                      <w:rFonts w:ascii="Cambria Math" w:hAnsi="Cambria Math" w:cstheme="minorHAnsi"/>
                      <w:color w:val="40739B" w:themeColor="background2" w:themeShade="80"/>
                      <w:sz w:val="28"/>
                      <w:szCs w:val="28"/>
                    </w:rPr>
                    <m:t xml:space="preserve">+ </m:t>
                  </m:r>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ε</m:t>
                      </m:r>
                    </m:e>
                    <m:sub>
                      <m:r>
                        <w:rPr>
                          <w:rFonts w:ascii="Cambria Math" w:hAnsi="Cambria Math" w:cstheme="minorHAnsi"/>
                          <w:color w:val="40739B" w:themeColor="background2" w:themeShade="80"/>
                          <w:sz w:val="28"/>
                          <w:szCs w:val="28"/>
                        </w:rPr>
                        <m:t>i,t</m:t>
                      </m:r>
                    </m:sub>
                  </m:sSub>
                </m:e>
              </m:func>
            </m:e>
          </m:func>
        </m:oMath>
      </m:oMathPara>
    </w:p>
    <w:p w14:paraId="43E8044B" w14:textId="49E4E6B0" w:rsidR="009B656E" w:rsidRDefault="005B0A5D" w:rsidP="00F20F51">
      <w:pPr>
        <w:pStyle w:val="NormalWeb"/>
        <w:spacing w:line="276" w:lineRule="auto"/>
        <w:ind w:left="1134" w:right="1133" w:firstLine="284"/>
        <w:jc w:val="both"/>
        <w:rPr>
          <w:rFonts w:asciiTheme="minorHAnsi" w:hAnsiTheme="minorHAnsi" w:cstheme="minorHAnsi"/>
        </w:rPr>
      </w:pPr>
      <w:r w:rsidRPr="005B0A5D">
        <w:rPr>
          <w:rFonts w:asciiTheme="minorHAnsi" w:hAnsiTheme="minorHAnsi" w:cstheme="minorHAnsi"/>
        </w:rPr>
        <w:lastRenderedPageBreak/>
        <w:t xml:space="preserve">Onde </w:t>
      </w:r>
      <m:oMath>
        <m:sSub>
          <m:sSubPr>
            <m:ctrlPr>
              <w:rPr>
                <w:rFonts w:ascii="Cambria Math" w:hAnsi="Cambria Math" w:cstheme="minorHAnsi"/>
                <w:i/>
                <w:color w:val="40739B" w:themeColor="background2" w:themeShade="80"/>
              </w:rPr>
            </m:ctrlPr>
          </m:sSubPr>
          <m:e>
            <m:r>
              <w:rPr>
                <w:rFonts w:ascii="Cambria Math" w:hAnsi="Cambria Math" w:cstheme="minorHAnsi"/>
                <w:color w:val="40739B" w:themeColor="background2" w:themeShade="80"/>
              </w:rPr>
              <m:t>y</m:t>
            </m:r>
          </m:e>
          <m:sub>
            <m:r>
              <w:rPr>
                <w:rFonts w:ascii="Cambria Math" w:hAnsi="Cambria Math" w:cstheme="minorHAnsi"/>
                <w:color w:val="40739B" w:themeColor="background2" w:themeShade="80"/>
              </w:rPr>
              <m:t>i,t</m:t>
            </m:r>
          </m:sub>
        </m:sSub>
      </m:oMath>
      <w:r w:rsidR="009B656E">
        <w:rPr>
          <w:rFonts w:asciiTheme="minorHAnsi" w:hAnsiTheme="minorHAnsi" w:cstheme="minorHAnsi"/>
        </w:rPr>
        <w:t xml:space="preserve"> </w:t>
      </w:r>
      <w:proofErr w:type="spellStart"/>
      <w:r w:rsidRPr="005B0A5D">
        <w:rPr>
          <w:rFonts w:asciiTheme="minorHAnsi" w:hAnsiTheme="minorHAnsi" w:cstheme="minorHAnsi"/>
        </w:rPr>
        <w:t>é</w:t>
      </w:r>
      <w:proofErr w:type="spellEnd"/>
      <w:r w:rsidRPr="005B0A5D">
        <w:rPr>
          <w:rFonts w:asciiTheme="minorHAnsi" w:hAnsiTheme="minorHAnsi" w:cstheme="minorHAnsi"/>
        </w:rPr>
        <w:t xml:space="preserve"> o nível do indicador </w:t>
      </w:r>
      <m:oMath>
        <m:r>
          <w:rPr>
            <w:rFonts w:ascii="Cambria Math" w:hAnsi="Cambria Math" w:cstheme="minorHAnsi"/>
            <w:color w:val="40739B" w:themeColor="background2" w:themeShade="80"/>
          </w:rPr>
          <m:t>y</m:t>
        </m:r>
      </m:oMath>
      <w:r w:rsidR="009B656E" w:rsidRPr="00150BD8">
        <w:rPr>
          <w:rFonts w:asciiTheme="minorHAnsi" w:hAnsiTheme="minorHAnsi" w:cstheme="minorHAnsi"/>
          <w:color w:val="40739B" w:themeColor="background2" w:themeShade="80"/>
          <w:sz w:val="28"/>
          <w:szCs w:val="28"/>
        </w:rPr>
        <w:t xml:space="preserve"> </w:t>
      </w:r>
      <w:r w:rsidRPr="005B0A5D">
        <w:rPr>
          <w:rFonts w:asciiTheme="minorHAnsi" w:hAnsiTheme="minorHAnsi" w:cstheme="minorHAnsi"/>
        </w:rPr>
        <w:t>no país</w:t>
      </w:r>
      <w:r w:rsidR="009B656E">
        <w:rPr>
          <w:rFonts w:asciiTheme="minorHAnsi" w:hAnsiTheme="minorHAnsi" w:cstheme="minorHAnsi"/>
        </w:rPr>
        <w:t xml:space="preserve"> </w:t>
      </w:r>
      <m:oMath>
        <m:r>
          <w:rPr>
            <w:rFonts w:ascii="Cambria Math" w:hAnsi="Cambria Math" w:cstheme="minorHAnsi"/>
            <w:color w:val="40739B" w:themeColor="background2" w:themeShade="80"/>
          </w:rPr>
          <m:t>i</m:t>
        </m:r>
      </m:oMath>
      <w:r w:rsidRPr="00150BD8">
        <w:rPr>
          <w:rFonts w:asciiTheme="minorHAnsi" w:hAnsiTheme="minorHAnsi" w:cstheme="minorHAnsi"/>
          <w:color w:val="40739B" w:themeColor="background2" w:themeShade="80"/>
        </w:rPr>
        <w:t xml:space="preserve"> </w:t>
      </w:r>
      <w:r w:rsidRPr="005B0A5D">
        <w:rPr>
          <w:rFonts w:asciiTheme="minorHAnsi" w:hAnsiTheme="minorHAnsi" w:cstheme="minorHAnsi"/>
        </w:rPr>
        <w:t>no tempo</w:t>
      </w:r>
      <w:r w:rsidR="009B656E">
        <w:rPr>
          <w:rFonts w:asciiTheme="minorHAnsi" w:hAnsiTheme="minorHAnsi" w:cstheme="minorHAnsi"/>
        </w:rPr>
        <w:t xml:space="preserve"> </w:t>
      </w:r>
      <m:oMath>
        <m:r>
          <w:rPr>
            <w:rFonts w:ascii="Cambria Math" w:hAnsi="Cambria Math" w:cstheme="minorHAnsi"/>
            <w:color w:val="40739B" w:themeColor="background2" w:themeShade="80"/>
          </w:rPr>
          <m:t>t</m:t>
        </m:r>
      </m:oMath>
      <w:r w:rsidRPr="005B0A5D">
        <w:rPr>
          <w:rFonts w:asciiTheme="minorHAnsi" w:hAnsiTheme="minorHAnsi" w:cstheme="minorHAnsi"/>
        </w:rPr>
        <w:t xml:space="preserve">, </w:t>
      </w:r>
      <m:oMath>
        <m:r>
          <w:rPr>
            <w:rFonts w:ascii="Cambria Math" w:hAnsi="Cambria Math" w:cstheme="minorHAnsi"/>
            <w:color w:val="40739B" w:themeColor="background2" w:themeShade="80"/>
          </w:rPr>
          <m:t>∆</m:t>
        </m:r>
        <m:sSub>
          <m:sSubPr>
            <m:ctrlPr>
              <w:rPr>
                <w:rFonts w:ascii="Cambria Math" w:hAnsi="Cambria Math" w:cstheme="minorHAnsi"/>
                <w:i/>
                <w:color w:val="40739B" w:themeColor="background2" w:themeShade="80"/>
              </w:rPr>
            </m:ctrlPr>
          </m:sSubPr>
          <m:e>
            <m:r>
              <w:rPr>
                <w:rFonts w:ascii="Cambria Math" w:hAnsi="Cambria Math" w:cstheme="minorHAnsi"/>
                <w:color w:val="40739B" w:themeColor="background2" w:themeShade="80"/>
              </w:rPr>
              <m:t>y</m:t>
            </m:r>
          </m:e>
          <m:sub>
            <m:r>
              <w:rPr>
                <w:rFonts w:ascii="Cambria Math" w:hAnsi="Cambria Math" w:cstheme="minorHAnsi"/>
                <w:color w:val="40739B" w:themeColor="background2" w:themeShade="80"/>
              </w:rPr>
              <m:t>i,t</m:t>
            </m:r>
          </m:sub>
        </m:sSub>
      </m:oMath>
      <w:r w:rsidR="00150BD8">
        <w:rPr>
          <w:rFonts w:asciiTheme="minorHAnsi" w:hAnsiTheme="minorHAnsi" w:cstheme="minorHAnsi"/>
        </w:rPr>
        <w:t xml:space="preserve"> </w:t>
      </w:r>
      <w:r w:rsidRPr="005B0A5D">
        <w:rPr>
          <w:rFonts w:asciiTheme="minorHAnsi" w:hAnsiTheme="minorHAnsi" w:cstheme="minorHAnsi"/>
        </w:rPr>
        <w:t xml:space="preserve">é a taxa de crescimento do indicador </w:t>
      </w:r>
      <m:oMath>
        <m:r>
          <w:rPr>
            <w:rFonts w:ascii="Cambria Math" w:hAnsi="Cambria Math" w:cstheme="minorHAnsi"/>
            <w:color w:val="40739B" w:themeColor="background2" w:themeShade="80"/>
          </w:rPr>
          <m:t>y</m:t>
        </m:r>
      </m:oMath>
      <w:r w:rsidR="00150BD8" w:rsidRPr="00150BD8">
        <w:rPr>
          <w:rFonts w:asciiTheme="minorHAnsi" w:hAnsiTheme="minorHAnsi" w:cstheme="minorHAnsi"/>
          <w:color w:val="40739B" w:themeColor="background2" w:themeShade="80"/>
        </w:rPr>
        <w:t xml:space="preserve"> </w:t>
      </w:r>
      <w:r w:rsidRPr="005B0A5D">
        <w:rPr>
          <w:rFonts w:asciiTheme="minorHAnsi" w:hAnsiTheme="minorHAnsi" w:cstheme="minorHAnsi"/>
        </w:rPr>
        <w:t xml:space="preserve">no país </w:t>
      </w:r>
      <m:oMath>
        <m:r>
          <w:rPr>
            <w:rFonts w:ascii="Cambria Math" w:hAnsi="Cambria Math" w:cstheme="minorHAnsi"/>
            <w:color w:val="40739B" w:themeColor="background2" w:themeShade="80"/>
          </w:rPr>
          <m:t xml:space="preserve">i </m:t>
        </m:r>
      </m:oMath>
      <w:r w:rsidRPr="005B0A5D">
        <w:rPr>
          <w:rFonts w:asciiTheme="minorHAnsi" w:hAnsiTheme="minorHAnsi" w:cstheme="minorHAnsi"/>
        </w:rPr>
        <w:t>no tempo</w:t>
      </w:r>
      <m:oMath>
        <m:r>
          <w:rPr>
            <w:rFonts w:ascii="Cambria Math" w:hAnsi="Cambria Math" w:cstheme="minorHAnsi"/>
          </w:rPr>
          <m:t xml:space="preserve"> </m:t>
        </m:r>
        <m:r>
          <w:rPr>
            <w:rFonts w:ascii="Cambria Math" w:hAnsi="Cambria Math" w:cstheme="minorHAnsi"/>
            <w:color w:val="40739B" w:themeColor="background2" w:themeShade="80"/>
          </w:rPr>
          <m:t>t</m:t>
        </m:r>
      </m:oMath>
      <w:r w:rsidRPr="005B0A5D">
        <w:rPr>
          <w:rFonts w:asciiTheme="minorHAnsi" w:hAnsiTheme="minorHAnsi" w:cstheme="minorHAnsi"/>
        </w:rPr>
        <w:t xml:space="preserve">, </w:t>
      </w:r>
      <w:r w:rsidRPr="00150BD8">
        <w:rPr>
          <w:rFonts w:ascii="Calibri" w:hAnsi="Calibri" w:cs="Calibri"/>
          <w:color w:val="40739B" w:themeColor="background2" w:themeShade="80"/>
        </w:rPr>
        <w:t>α</w:t>
      </w:r>
      <w:r w:rsidRPr="00150BD8">
        <w:rPr>
          <w:rFonts w:asciiTheme="minorHAnsi" w:hAnsiTheme="minorHAnsi" w:cstheme="minorHAnsi"/>
          <w:color w:val="40739B" w:themeColor="background2" w:themeShade="80"/>
        </w:rPr>
        <w:t xml:space="preserve"> </w:t>
      </w:r>
      <w:r w:rsidRPr="005B0A5D">
        <w:rPr>
          <w:rFonts w:asciiTheme="minorHAnsi" w:hAnsiTheme="minorHAnsi" w:cstheme="minorHAnsi"/>
        </w:rPr>
        <w:t xml:space="preserve">e </w:t>
      </w:r>
      <w:r w:rsidRPr="00150BD8">
        <w:rPr>
          <w:rFonts w:ascii="Calibri" w:hAnsi="Calibri" w:cs="Calibri"/>
          <w:color w:val="40739B" w:themeColor="background2" w:themeShade="80"/>
        </w:rPr>
        <w:t>β</w:t>
      </w:r>
      <w:r w:rsidRPr="00150BD8">
        <w:rPr>
          <w:rFonts w:asciiTheme="minorHAnsi" w:hAnsiTheme="minorHAnsi" w:cstheme="minorHAnsi"/>
          <w:color w:val="40739B" w:themeColor="background2" w:themeShade="80"/>
        </w:rPr>
        <w:t xml:space="preserve"> </w:t>
      </w:r>
      <w:r w:rsidRPr="005B0A5D">
        <w:rPr>
          <w:rFonts w:asciiTheme="minorHAnsi" w:hAnsiTheme="minorHAnsi" w:cstheme="minorHAnsi"/>
        </w:rPr>
        <w:t>s</w:t>
      </w:r>
      <w:r w:rsidRPr="005B0A5D">
        <w:rPr>
          <w:rFonts w:ascii="Tw Cen MT" w:hAnsi="Tw Cen MT" w:cs="Tw Cen MT"/>
        </w:rPr>
        <w:t>ã</w:t>
      </w:r>
      <w:r w:rsidRPr="005B0A5D">
        <w:rPr>
          <w:rFonts w:asciiTheme="minorHAnsi" w:hAnsiTheme="minorHAnsi" w:cstheme="minorHAnsi"/>
        </w:rPr>
        <w:t>o os par</w:t>
      </w:r>
      <w:r w:rsidRPr="005B0A5D">
        <w:rPr>
          <w:rFonts w:ascii="Tw Cen MT" w:hAnsi="Tw Cen MT" w:cs="Tw Cen MT"/>
        </w:rPr>
        <w:t>â</w:t>
      </w:r>
      <w:r w:rsidRPr="005B0A5D">
        <w:rPr>
          <w:rFonts w:asciiTheme="minorHAnsi" w:hAnsiTheme="minorHAnsi" w:cstheme="minorHAnsi"/>
        </w:rPr>
        <w:t xml:space="preserve">metros a serem estimados e </w:t>
      </w:r>
      <m:oMath>
        <m:sSub>
          <m:sSubPr>
            <m:ctrlPr>
              <w:rPr>
                <w:rFonts w:ascii="Cambria Math" w:hAnsi="Cambria Math" w:cstheme="minorHAnsi"/>
                <w:i/>
                <w:color w:val="40739B" w:themeColor="background2" w:themeShade="80"/>
              </w:rPr>
            </m:ctrlPr>
          </m:sSubPr>
          <m:e>
            <m:r>
              <w:rPr>
                <w:rFonts w:ascii="Cambria Math" w:hAnsi="Cambria Math" w:cstheme="minorHAnsi"/>
                <w:color w:val="40739B" w:themeColor="background2" w:themeShade="80"/>
              </w:rPr>
              <m:t>ε</m:t>
            </m:r>
          </m:e>
          <m:sub>
            <m:r>
              <w:rPr>
                <w:rFonts w:ascii="Cambria Math" w:hAnsi="Cambria Math" w:cstheme="minorHAnsi"/>
                <w:color w:val="40739B" w:themeColor="background2" w:themeShade="80"/>
              </w:rPr>
              <m:t>i,t</m:t>
            </m:r>
          </m:sub>
        </m:sSub>
      </m:oMath>
      <w:r w:rsidR="00150BD8">
        <w:rPr>
          <w:rFonts w:ascii="Calibri" w:hAnsi="Calibri" w:cs="Calibri"/>
        </w:rPr>
        <w:t xml:space="preserve"> </w:t>
      </w:r>
      <w:proofErr w:type="spellStart"/>
      <w:r w:rsidRPr="005B0A5D">
        <w:rPr>
          <w:rFonts w:ascii="Tw Cen MT" w:hAnsi="Tw Cen MT" w:cs="Tw Cen MT"/>
        </w:rPr>
        <w:t>é</w:t>
      </w:r>
      <w:proofErr w:type="spellEnd"/>
      <w:r w:rsidRPr="005B0A5D">
        <w:rPr>
          <w:rFonts w:asciiTheme="minorHAnsi" w:hAnsiTheme="minorHAnsi" w:cstheme="minorHAnsi"/>
        </w:rPr>
        <w:t xml:space="preserve"> o termo de erro. Esta equa</w:t>
      </w:r>
      <w:r w:rsidRPr="005B0A5D">
        <w:rPr>
          <w:rFonts w:ascii="Tw Cen MT" w:hAnsi="Tw Cen MT" w:cs="Tw Cen MT"/>
        </w:rPr>
        <w:t>çã</w:t>
      </w:r>
      <w:r w:rsidRPr="005B0A5D">
        <w:rPr>
          <w:rFonts w:asciiTheme="minorHAnsi" w:hAnsiTheme="minorHAnsi" w:cstheme="minorHAnsi"/>
        </w:rPr>
        <w:t>o analisa a rela</w:t>
      </w:r>
      <w:r w:rsidRPr="005B0A5D">
        <w:rPr>
          <w:rFonts w:ascii="Tw Cen MT" w:hAnsi="Tw Cen MT" w:cs="Tw Cen MT"/>
        </w:rPr>
        <w:t>çã</w:t>
      </w:r>
      <w:r w:rsidRPr="005B0A5D">
        <w:rPr>
          <w:rFonts w:asciiTheme="minorHAnsi" w:hAnsiTheme="minorHAnsi" w:cstheme="minorHAnsi"/>
        </w:rPr>
        <w:t>o entre o crescimento de um indicador ao longo de um per</w:t>
      </w:r>
      <w:r w:rsidRPr="005B0A5D">
        <w:rPr>
          <w:rFonts w:ascii="Tw Cen MT" w:hAnsi="Tw Cen MT" w:cs="Tw Cen MT"/>
        </w:rPr>
        <w:t>í</w:t>
      </w:r>
      <w:r w:rsidRPr="005B0A5D">
        <w:rPr>
          <w:rFonts w:asciiTheme="minorHAnsi" w:hAnsiTheme="minorHAnsi" w:cstheme="minorHAnsi"/>
        </w:rPr>
        <w:t>odo e seu valor inicial.</w:t>
      </w:r>
    </w:p>
    <w:p w14:paraId="7BCA6A8D" w14:textId="77777777" w:rsidR="009B656E" w:rsidRDefault="005B0A5D" w:rsidP="009B656E">
      <w:pPr>
        <w:pStyle w:val="NormalWeb"/>
        <w:spacing w:line="276" w:lineRule="auto"/>
        <w:ind w:left="1134" w:right="1134" w:firstLine="284"/>
        <w:jc w:val="both"/>
        <w:rPr>
          <w:rFonts w:asciiTheme="minorHAnsi" w:hAnsiTheme="minorHAnsi" w:cstheme="minorHAnsi"/>
        </w:rPr>
      </w:pPr>
      <w:r w:rsidRPr="005B0A5D">
        <w:rPr>
          <w:rFonts w:asciiTheme="minorHAnsi" w:hAnsiTheme="minorHAnsi" w:cstheme="minorHAnsi"/>
        </w:rPr>
        <w:t xml:space="preserve"> Beta-convergência existe se essa relação for estatisticamente significativa e negativa, ou seja, se os países com níveis iniciais mais altos crescem mais lentamente. A magnitude do parâmetro </w:t>
      </w:r>
      <w:r w:rsidRPr="00150BD8">
        <w:rPr>
          <w:rFonts w:ascii="Calibri" w:hAnsi="Calibri" w:cs="Calibri"/>
          <w:color w:val="40739B" w:themeColor="background2" w:themeShade="80"/>
        </w:rPr>
        <w:t>β</w:t>
      </w:r>
      <w:r w:rsidRPr="00150BD8">
        <w:rPr>
          <w:rFonts w:asciiTheme="minorHAnsi" w:hAnsiTheme="minorHAnsi" w:cstheme="minorHAnsi"/>
          <w:color w:val="40739B" w:themeColor="background2" w:themeShade="80"/>
        </w:rPr>
        <w:t xml:space="preserve"> </w:t>
      </w:r>
      <w:r w:rsidRPr="005B0A5D">
        <w:rPr>
          <w:rFonts w:asciiTheme="minorHAnsi" w:hAnsiTheme="minorHAnsi" w:cstheme="minorHAnsi"/>
        </w:rPr>
        <w:t>d</w:t>
      </w:r>
      <w:r w:rsidRPr="005B0A5D">
        <w:rPr>
          <w:rFonts w:ascii="Tw Cen MT" w:hAnsi="Tw Cen MT" w:cs="Tw Cen MT"/>
        </w:rPr>
        <w:t>á</w:t>
      </w:r>
      <w:r w:rsidRPr="005B0A5D">
        <w:rPr>
          <w:rFonts w:asciiTheme="minorHAnsi" w:hAnsiTheme="minorHAnsi" w:cstheme="minorHAnsi"/>
        </w:rPr>
        <w:t xml:space="preserve"> uma indica</w:t>
      </w:r>
      <w:r w:rsidRPr="005B0A5D">
        <w:rPr>
          <w:rFonts w:ascii="Tw Cen MT" w:hAnsi="Tw Cen MT" w:cs="Tw Cen MT"/>
        </w:rPr>
        <w:t>çã</w:t>
      </w:r>
      <w:r w:rsidRPr="005B0A5D">
        <w:rPr>
          <w:rFonts w:asciiTheme="minorHAnsi" w:hAnsiTheme="minorHAnsi" w:cstheme="minorHAnsi"/>
        </w:rPr>
        <w:t>o da velocidade do processo de converg</w:t>
      </w:r>
      <w:r w:rsidRPr="005B0A5D">
        <w:rPr>
          <w:rFonts w:ascii="Tw Cen MT" w:hAnsi="Tw Cen MT" w:cs="Tw Cen MT"/>
        </w:rPr>
        <w:t>ê</w:t>
      </w:r>
      <w:r w:rsidRPr="005B0A5D">
        <w:rPr>
          <w:rFonts w:asciiTheme="minorHAnsi" w:hAnsiTheme="minorHAnsi" w:cstheme="minorHAnsi"/>
        </w:rPr>
        <w:t>ncia.</w:t>
      </w:r>
    </w:p>
    <w:p w14:paraId="7BEABF1F" w14:textId="67567B70" w:rsidR="009B656E" w:rsidRPr="009B656E" w:rsidRDefault="009B656E" w:rsidP="009B656E">
      <w:pPr>
        <w:pStyle w:val="NormalWeb"/>
        <w:spacing w:line="276" w:lineRule="auto"/>
        <w:ind w:left="1134" w:right="1134" w:firstLine="284"/>
        <w:jc w:val="both"/>
        <w:rPr>
          <w:rFonts w:asciiTheme="minorHAnsi" w:hAnsiTheme="minorHAnsi" w:cstheme="minorHAnsi"/>
          <w:sz w:val="28"/>
          <w:szCs w:val="28"/>
        </w:rPr>
      </w:pPr>
      <w:r w:rsidRPr="009B656E">
        <w:rPr>
          <w:rFonts w:ascii="Cambria Math" w:hAnsi="Cambria Math" w:cstheme="minorHAnsi"/>
          <w:i/>
          <w:sz w:val="28"/>
          <w:szCs w:val="28"/>
        </w:rPr>
        <w:br/>
      </w:r>
      <m:oMathPara>
        <m:oMath>
          <m:func>
            <m:funcPr>
              <m:ctrlPr>
                <w:rPr>
                  <w:rFonts w:ascii="Cambria Math" w:hAnsi="Cambria Math" w:cstheme="minorHAnsi"/>
                  <w:i/>
                  <w:color w:val="40739B" w:themeColor="background2" w:themeShade="80"/>
                  <w:sz w:val="28"/>
                  <w:szCs w:val="28"/>
                  <w:highlight w:val="yellow"/>
                </w:rPr>
              </m:ctrlPr>
            </m:funcPr>
            <m:fName>
              <m:r>
                <m:rPr>
                  <m:sty m:val="p"/>
                </m:rPr>
                <w:rPr>
                  <w:rFonts w:ascii="Cambria Math" w:hAnsi="Cambria Math" w:cstheme="minorHAnsi"/>
                  <w:color w:val="40739B" w:themeColor="background2" w:themeShade="80"/>
                  <w:sz w:val="28"/>
                  <w:szCs w:val="28"/>
                  <w:highlight w:val="yellow"/>
                </w:rPr>
                <m:t>ln</m:t>
              </m:r>
            </m:fName>
            <m:e>
              <m:d>
                <m:dPr>
                  <m:ctrlPr>
                    <w:rPr>
                      <w:rFonts w:ascii="Cambria Math" w:hAnsi="Cambria Math" w:cstheme="minorHAnsi"/>
                      <w:i/>
                      <w:color w:val="40739B" w:themeColor="background2" w:themeShade="80"/>
                      <w:sz w:val="28"/>
                      <w:szCs w:val="28"/>
                      <w:highlight w:val="yellow"/>
                    </w:rPr>
                  </m:ctrlPr>
                </m:dPr>
                <m:e>
                  <m:sSub>
                    <m:sSubPr>
                      <m:ctrlPr>
                        <w:rPr>
                          <w:rFonts w:ascii="Cambria Math" w:hAnsi="Cambria Math" w:cstheme="minorHAnsi"/>
                          <w:i/>
                          <w:color w:val="40739B" w:themeColor="background2" w:themeShade="80"/>
                          <w:sz w:val="28"/>
                          <w:szCs w:val="28"/>
                          <w:highlight w:val="yellow"/>
                        </w:rPr>
                      </m:ctrlPr>
                    </m:sSubPr>
                    <m:e>
                      <m:r>
                        <w:rPr>
                          <w:rFonts w:ascii="Cambria Math" w:hAnsi="Cambria Math" w:cstheme="minorHAnsi"/>
                          <w:color w:val="40739B" w:themeColor="background2" w:themeShade="80"/>
                          <w:sz w:val="28"/>
                          <w:szCs w:val="28"/>
                          <w:highlight w:val="yellow"/>
                        </w:rPr>
                        <m:t>∆y</m:t>
                      </m:r>
                    </m:e>
                    <m:sub>
                      <m:r>
                        <w:rPr>
                          <w:rFonts w:ascii="Cambria Math" w:hAnsi="Cambria Math" w:cstheme="minorHAnsi"/>
                          <w:color w:val="40739B" w:themeColor="background2" w:themeShade="80"/>
                          <w:sz w:val="28"/>
                          <w:szCs w:val="28"/>
                          <w:highlight w:val="yellow"/>
                        </w:rPr>
                        <m:t>i,t</m:t>
                      </m:r>
                    </m:sub>
                  </m:sSub>
                </m:e>
              </m:d>
              <m:r>
                <w:rPr>
                  <w:rFonts w:ascii="Cambria Math" w:hAnsi="Cambria Math" w:cstheme="minorHAnsi"/>
                  <w:color w:val="40739B" w:themeColor="background2" w:themeShade="80"/>
                  <w:sz w:val="28"/>
                  <w:szCs w:val="28"/>
                  <w:highlight w:val="yellow"/>
                </w:rPr>
                <m:t xml:space="preserve">= α+ β </m:t>
              </m:r>
              <m:func>
                <m:funcPr>
                  <m:ctrlPr>
                    <w:rPr>
                      <w:rFonts w:ascii="Cambria Math" w:hAnsi="Cambria Math" w:cstheme="minorHAnsi"/>
                      <w:i/>
                      <w:color w:val="40739B" w:themeColor="background2" w:themeShade="80"/>
                      <w:sz w:val="28"/>
                      <w:szCs w:val="28"/>
                      <w:highlight w:val="yellow"/>
                    </w:rPr>
                  </m:ctrlPr>
                </m:funcPr>
                <m:fName>
                  <m:r>
                    <m:rPr>
                      <m:sty m:val="p"/>
                    </m:rPr>
                    <w:rPr>
                      <w:rFonts w:ascii="Cambria Math" w:hAnsi="Cambria Math" w:cstheme="minorHAnsi"/>
                      <w:color w:val="40739B" w:themeColor="background2" w:themeShade="80"/>
                      <w:sz w:val="28"/>
                      <w:szCs w:val="28"/>
                      <w:highlight w:val="yellow"/>
                    </w:rPr>
                    <m:t>ln</m:t>
                  </m:r>
                </m:fName>
                <m:e>
                  <m:d>
                    <m:dPr>
                      <m:ctrlPr>
                        <w:rPr>
                          <w:rFonts w:ascii="Cambria Math" w:hAnsi="Cambria Math" w:cstheme="minorHAnsi"/>
                          <w:i/>
                          <w:color w:val="40739B" w:themeColor="background2" w:themeShade="80"/>
                          <w:sz w:val="28"/>
                          <w:szCs w:val="28"/>
                          <w:highlight w:val="yellow"/>
                        </w:rPr>
                      </m:ctrlPr>
                    </m:dPr>
                    <m:e>
                      <m:sSub>
                        <m:sSubPr>
                          <m:ctrlPr>
                            <w:rPr>
                              <w:rFonts w:ascii="Cambria Math" w:hAnsi="Cambria Math" w:cstheme="minorHAnsi"/>
                              <w:i/>
                              <w:color w:val="40739B" w:themeColor="background2" w:themeShade="80"/>
                              <w:sz w:val="28"/>
                              <w:szCs w:val="28"/>
                              <w:highlight w:val="yellow"/>
                            </w:rPr>
                          </m:ctrlPr>
                        </m:sSubPr>
                        <m:e>
                          <m:r>
                            <w:rPr>
                              <w:rFonts w:ascii="Cambria Math" w:hAnsi="Cambria Math" w:cstheme="minorHAnsi"/>
                              <w:color w:val="40739B" w:themeColor="background2" w:themeShade="80"/>
                              <w:sz w:val="28"/>
                              <w:szCs w:val="28"/>
                              <w:highlight w:val="yellow"/>
                            </w:rPr>
                            <m:t>y</m:t>
                          </m:r>
                        </m:e>
                        <m:sub>
                          <m:r>
                            <w:rPr>
                              <w:rFonts w:ascii="Cambria Math" w:hAnsi="Cambria Math" w:cstheme="minorHAnsi"/>
                              <w:color w:val="40739B" w:themeColor="background2" w:themeShade="80"/>
                              <w:sz w:val="28"/>
                              <w:szCs w:val="28"/>
                              <w:highlight w:val="yellow"/>
                            </w:rPr>
                            <m:t>i,t-1</m:t>
                          </m:r>
                        </m:sub>
                      </m:sSub>
                    </m:e>
                  </m:d>
                  <m:r>
                    <w:rPr>
                      <w:rFonts w:ascii="Cambria Math" w:hAnsi="Cambria Math" w:cstheme="minorHAnsi"/>
                      <w:color w:val="40739B" w:themeColor="background2" w:themeShade="80"/>
                      <w:sz w:val="28"/>
                      <w:szCs w:val="28"/>
                      <w:highlight w:val="yellow"/>
                    </w:rPr>
                    <m:t>+ γ</m:t>
                  </m:r>
                  <m:sSub>
                    <m:sSubPr>
                      <m:ctrlPr>
                        <w:rPr>
                          <w:rFonts w:ascii="Cambria Math" w:hAnsi="Cambria Math" w:cstheme="minorHAnsi"/>
                          <w:i/>
                          <w:color w:val="40739B" w:themeColor="background2" w:themeShade="80"/>
                          <w:sz w:val="28"/>
                          <w:szCs w:val="28"/>
                          <w:highlight w:val="yellow"/>
                        </w:rPr>
                      </m:ctrlPr>
                    </m:sSubPr>
                    <m:e>
                      <m:r>
                        <w:rPr>
                          <w:rFonts w:ascii="Cambria Math" w:hAnsi="Cambria Math" w:cstheme="minorHAnsi"/>
                          <w:color w:val="40739B" w:themeColor="background2" w:themeShade="80"/>
                          <w:sz w:val="28"/>
                          <w:szCs w:val="28"/>
                          <w:highlight w:val="yellow"/>
                        </w:rPr>
                        <m:t>Z</m:t>
                      </m:r>
                    </m:e>
                    <m:sub>
                      <m:r>
                        <w:rPr>
                          <w:rFonts w:ascii="Cambria Math" w:hAnsi="Cambria Math" w:cstheme="minorHAnsi"/>
                          <w:color w:val="40739B" w:themeColor="background2" w:themeShade="80"/>
                          <w:sz w:val="28"/>
                          <w:szCs w:val="28"/>
                          <w:highlight w:val="yellow"/>
                        </w:rPr>
                        <m:t>i,t</m:t>
                      </m:r>
                    </m:sub>
                  </m:sSub>
                  <m:r>
                    <w:rPr>
                      <w:rFonts w:ascii="Cambria Math" w:hAnsi="Cambria Math" w:cstheme="minorHAnsi"/>
                      <w:color w:val="40739B" w:themeColor="background2" w:themeShade="80"/>
                      <w:sz w:val="28"/>
                      <w:szCs w:val="28"/>
                      <w:highlight w:val="yellow"/>
                    </w:rPr>
                    <m:t xml:space="preserve">+ </m:t>
                  </m:r>
                  <m:sSub>
                    <m:sSubPr>
                      <m:ctrlPr>
                        <w:rPr>
                          <w:rFonts w:ascii="Cambria Math" w:hAnsi="Cambria Math" w:cstheme="minorHAnsi"/>
                          <w:i/>
                          <w:color w:val="40739B" w:themeColor="background2" w:themeShade="80"/>
                          <w:sz w:val="28"/>
                          <w:szCs w:val="28"/>
                          <w:highlight w:val="yellow"/>
                        </w:rPr>
                      </m:ctrlPr>
                    </m:sSubPr>
                    <m:e>
                      <m:r>
                        <w:rPr>
                          <w:rFonts w:ascii="Cambria Math" w:hAnsi="Cambria Math" w:cstheme="minorHAnsi"/>
                          <w:color w:val="40739B" w:themeColor="background2" w:themeShade="80"/>
                          <w:sz w:val="28"/>
                          <w:szCs w:val="28"/>
                          <w:highlight w:val="yellow"/>
                        </w:rPr>
                        <m:t>ε</m:t>
                      </m:r>
                    </m:e>
                    <m:sub>
                      <m:r>
                        <w:rPr>
                          <w:rFonts w:ascii="Cambria Math" w:hAnsi="Cambria Math" w:cstheme="minorHAnsi"/>
                          <w:color w:val="40739B" w:themeColor="background2" w:themeShade="80"/>
                          <w:sz w:val="28"/>
                          <w:szCs w:val="28"/>
                          <w:highlight w:val="yellow"/>
                        </w:rPr>
                        <m:t>i,t</m:t>
                      </m:r>
                    </m:sub>
                  </m:sSub>
                </m:e>
              </m:func>
            </m:e>
          </m:func>
        </m:oMath>
      </m:oMathPara>
    </w:p>
    <w:p w14:paraId="71E12CF2" w14:textId="77B2FEF2" w:rsidR="005B0A5D" w:rsidRDefault="005B0A5D" w:rsidP="00F20F51">
      <w:pPr>
        <w:pStyle w:val="NormalWeb"/>
        <w:spacing w:line="276" w:lineRule="auto"/>
        <w:ind w:left="1134" w:right="1133" w:firstLine="284"/>
        <w:jc w:val="both"/>
        <w:rPr>
          <w:rFonts w:asciiTheme="minorHAnsi" w:hAnsiTheme="minorHAnsi" w:cstheme="minorHAnsi"/>
        </w:rPr>
      </w:pPr>
    </w:p>
    <w:p w14:paraId="35FAD21F" w14:textId="0BDFF204" w:rsidR="005B0A5D" w:rsidRPr="005B0A5D" w:rsidRDefault="005B0A5D" w:rsidP="00F20F51">
      <w:pPr>
        <w:pStyle w:val="Ttulo2"/>
        <w:ind w:left="1418"/>
      </w:pPr>
      <w:r>
        <w:t>Sigma Convergência</w:t>
      </w:r>
    </w:p>
    <w:p w14:paraId="1FA8E8B9" w14:textId="1C5433F2" w:rsidR="005B0A5D" w:rsidRPr="00F20F51" w:rsidRDefault="005B0A5D" w:rsidP="00F20F51">
      <w:pPr>
        <w:pStyle w:val="NormalWeb"/>
        <w:spacing w:line="276" w:lineRule="auto"/>
        <w:ind w:left="1134" w:right="1133" w:firstLine="284"/>
        <w:jc w:val="both"/>
        <w:rPr>
          <w:rFonts w:asciiTheme="minorHAnsi" w:hAnsiTheme="minorHAnsi" w:cstheme="minorHAnsi"/>
        </w:rPr>
      </w:pPr>
      <w:r w:rsidRPr="00F20F51">
        <w:rPr>
          <w:rFonts w:asciiTheme="minorHAnsi" w:hAnsiTheme="minorHAnsi" w:cstheme="minorHAnsi"/>
        </w:rPr>
        <w:t xml:space="preserve">O conceito de sigma-convergência refere-se à redução das disparidades entre observações estatísticas, neste caso em países ou regiões, ao longo do tempo. A convergência definida dessa maneira é frequentemente identificada pela diminuição de uma função de variabilidade ao longo do tempo, demonstrando que uma variável, como a taxa de emprego, está se tornando cada vez mais homogênea entre os países. A redução das disparidades geralmente é investigada através das mudanças no desvio padrão ou no coeficiente de variação. Em particular, o coeficiente de variação é uma medida invariante à escala que permite a comparação da dispersão ao longo de </w:t>
      </w:r>
      <w:r w:rsidR="009B656E" w:rsidRPr="00F20F51">
        <w:rPr>
          <w:rFonts w:asciiTheme="minorHAnsi" w:hAnsiTheme="minorHAnsi" w:cstheme="minorHAnsi"/>
        </w:rPr>
        <w:t>períodos</w:t>
      </w:r>
      <w:r w:rsidRPr="00F20F51">
        <w:rPr>
          <w:rFonts w:asciiTheme="minorHAnsi" w:hAnsiTheme="minorHAnsi" w:cstheme="minorHAnsi"/>
        </w:rPr>
        <w:t>. Ele tem sido citado como a melhor medida quantitativa de homogeneidade, pois permite comparar tendências de variabilidade entre diferentes indicadores (</w:t>
      </w:r>
      <w:proofErr w:type="spellStart"/>
      <w:r w:rsidRPr="00F20F51">
        <w:rPr>
          <w:rFonts w:asciiTheme="minorHAnsi" w:hAnsiTheme="minorHAnsi" w:cstheme="minorHAnsi"/>
        </w:rPr>
        <w:t>Kenworthy</w:t>
      </w:r>
      <w:proofErr w:type="spellEnd"/>
      <w:r w:rsidRPr="00F20F51">
        <w:rPr>
          <w:rFonts w:asciiTheme="minorHAnsi" w:hAnsiTheme="minorHAnsi" w:cstheme="minorHAnsi"/>
        </w:rPr>
        <w:t>, 1999).</w:t>
      </w:r>
    </w:p>
    <w:p w14:paraId="2DF4CF5C" w14:textId="77777777" w:rsidR="005B0A5D" w:rsidRPr="00F20F51" w:rsidRDefault="005B0A5D" w:rsidP="00F20F51">
      <w:pPr>
        <w:pStyle w:val="NormalWeb"/>
        <w:spacing w:line="276" w:lineRule="auto"/>
        <w:ind w:left="1134" w:right="1133" w:firstLine="284"/>
        <w:jc w:val="both"/>
        <w:rPr>
          <w:rFonts w:asciiTheme="minorHAnsi" w:hAnsiTheme="minorHAnsi" w:cstheme="minorHAnsi"/>
        </w:rPr>
      </w:pPr>
      <w:r w:rsidRPr="00F20F51">
        <w:rPr>
          <w:rFonts w:asciiTheme="minorHAnsi" w:hAnsiTheme="minorHAnsi" w:cstheme="minorHAnsi"/>
        </w:rPr>
        <w:t>Para investigar se há convergência, o coeficiente de variação da variável de interesse é calculado para cada ano (indicado pelo subscrito t) na série temporal como o desvio padrão dividido pela média:</w:t>
      </w:r>
    </w:p>
    <w:p w14:paraId="584B6115" w14:textId="43DCC288" w:rsidR="00F20F51" w:rsidRPr="00150BD8" w:rsidRDefault="00F20F51" w:rsidP="00F20F51">
      <w:pPr>
        <w:pStyle w:val="NormalWeb"/>
        <w:spacing w:line="276" w:lineRule="auto"/>
        <w:ind w:left="1134" w:right="1133" w:firstLine="284"/>
        <w:jc w:val="both"/>
        <w:rPr>
          <w:rFonts w:asciiTheme="minorHAnsi" w:hAnsiTheme="minorHAnsi" w:cstheme="minorHAnsi"/>
          <w:color w:val="40739B" w:themeColor="background2" w:themeShade="80"/>
          <w:sz w:val="28"/>
          <w:szCs w:val="28"/>
        </w:rPr>
      </w:pPr>
      <m:oMathPara>
        <m:oMath>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CV</m:t>
              </m:r>
            </m:e>
            <m:sub>
              <m:r>
                <w:rPr>
                  <w:rFonts w:ascii="Cambria Math" w:hAnsi="Cambria Math" w:cstheme="minorHAnsi"/>
                  <w:color w:val="40739B" w:themeColor="background2" w:themeShade="80"/>
                  <w:sz w:val="28"/>
                  <w:szCs w:val="28"/>
                </w:rPr>
                <m:t>t</m:t>
              </m:r>
            </m:sub>
          </m:sSub>
          <m:r>
            <w:rPr>
              <w:rFonts w:ascii="Cambria Math" w:hAnsi="Cambria Math" w:cstheme="minorHAnsi"/>
              <w:color w:val="40739B" w:themeColor="background2" w:themeShade="80"/>
              <w:sz w:val="28"/>
              <w:szCs w:val="28"/>
            </w:rPr>
            <m:t>=</m:t>
          </m:r>
          <m:f>
            <m:fPr>
              <m:ctrlPr>
                <w:rPr>
                  <w:rFonts w:ascii="Cambria Math" w:hAnsi="Cambria Math" w:cstheme="minorHAnsi"/>
                  <w:i/>
                  <w:color w:val="40739B" w:themeColor="background2" w:themeShade="80"/>
                  <w:sz w:val="28"/>
                  <w:szCs w:val="28"/>
                </w:rPr>
              </m:ctrlPr>
            </m:fPr>
            <m:num>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σ</m:t>
                  </m:r>
                </m:e>
                <m:sub>
                  <m:r>
                    <w:rPr>
                      <w:rFonts w:ascii="Cambria Math" w:hAnsi="Cambria Math" w:cstheme="minorHAnsi"/>
                      <w:color w:val="40739B" w:themeColor="background2" w:themeShade="80"/>
                      <w:sz w:val="28"/>
                      <w:szCs w:val="28"/>
                    </w:rPr>
                    <m:t>t</m:t>
                  </m:r>
                </m:sub>
              </m:sSub>
            </m:num>
            <m:den>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μ</m:t>
                  </m:r>
                </m:e>
                <m:sub>
                  <m:r>
                    <w:rPr>
                      <w:rFonts w:ascii="Cambria Math" w:hAnsi="Cambria Math" w:cstheme="minorHAnsi"/>
                      <w:color w:val="40739B" w:themeColor="background2" w:themeShade="80"/>
                      <w:sz w:val="28"/>
                      <w:szCs w:val="28"/>
                    </w:rPr>
                    <m:t>t</m:t>
                  </m:r>
                </m:sub>
              </m:sSub>
            </m:den>
          </m:f>
        </m:oMath>
      </m:oMathPara>
    </w:p>
    <w:p w14:paraId="27D7DE5B" w14:textId="41E2D8AE" w:rsidR="005B0A5D" w:rsidRPr="00F20F51" w:rsidRDefault="005B0A5D" w:rsidP="00F20F51">
      <w:pPr>
        <w:pStyle w:val="NormalWeb"/>
        <w:spacing w:line="276" w:lineRule="auto"/>
        <w:ind w:left="1134" w:right="1133" w:firstLine="284"/>
        <w:jc w:val="both"/>
        <w:rPr>
          <w:rFonts w:asciiTheme="minorHAnsi" w:hAnsiTheme="minorHAnsi" w:cstheme="minorHAnsi"/>
        </w:rPr>
      </w:pPr>
      <w:r w:rsidRPr="00F20F51">
        <w:rPr>
          <w:rFonts w:asciiTheme="minorHAnsi" w:hAnsiTheme="minorHAnsi" w:cstheme="minorHAnsi"/>
        </w:rPr>
        <w:t xml:space="preserve">onde </w:t>
      </w:r>
      <m:oMath>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σ</m:t>
            </m:r>
          </m:e>
          <m:sub>
            <m:r>
              <w:rPr>
                <w:rFonts w:ascii="Cambria Math" w:hAnsi="Cambria Math" w:cstheme="minorHAnsi"/>
                <w:color w:val="40739B" w:themeColor="background2" w:themeShade="80"/>
                <w:sz w:val="28"/>
                <w:szCs w:val="28"/>
              </w:rPr>
              <m:t>t</m:t>
            </m:r>
          </m:sub>
        </m:sSub>
      </m:oMath>
      <w:r w:rsidR="00F20F51">
        <w:rPr>
          <w:rFonts w:asciiTheme="minorHAnsi" w:hAnsiTheme="minorHAnsi" w:cstheme="minorHAnsi"/>
        </w:rPr>
        <w:t xml:space="preserve"> </w:t>
      </w:r>
      <w:proofErr w:type="spellStart"/>
      <w:r w:rsidRPr="00F20F51">
        <w:rPr>
          <w:rFonts w:asciiTheme="minorHAnsi" w:hAnsiTheme="minorHAnsi" w:cstheme="minorHAnsi"/>
        </w:rPr>
        <w:t>é</w:t>
      </w:r>
      <w:proofErr w:type="spellEnd"/>
      <w:r w:rsidRPr="00F20F51">
        <w:rPr>
          <w:rFonts w:asciiTheme="minorHAnsi" w:hAnsiTheme="minorHAnsi" w:cstheme="minorHAnsi"/>
        </w:rPr>
        <w:t xml:space="preserve"> o desvio padrão e</w:t>
      </w:r>
      <w:r w:rsidR="00F20F51">
        <w:rPr>
          <w:rFonts w:asciiTheme="minorHAnsi" w:hAnsiTheme="minorHAnsi" w:cstheme="minorHAnsi"/>
        </w:rPr>
        <w:t xml:space="preserve"> </w:t>
      </w:r>
      <m:oMath>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μ</m:t>
            </m:r>
          </m:e>
          <m:sub>
            <m:r>
              <w:rPr>
                <w:rFonts w:ascii="Cambria Math" w:hAnsi="Cambria Math" w:cstheme="minorHAnsi"/>
                <w:color w:val="40739B" w:themeColor="background2" w:themeShade="80"/>
                <w:sz w:val="28"/>
                <w:szCs w:val="28"/>
              </w:rPr>
              <m:t>t</m:t>
            </m:r>
          </m:sub>
        </m:sSub>
      </m:oMath>
      <w:r w:rsidRPr="00F20F51">
        <w:rPr>
          <w:rFonts w:asciiTheme="minorHAnsi" w:hAnsiTheme="minorHAnsi" w:cstheme="minorHAnsi"/>
        </w:rPr>
        <w:t xml:space="preserve"> é a média para a população de referência.</w:t>
      </w:r>
    </w:p>
    <w:p w14:paraId="25E6D596" w14:textId="7053A0F0" w:rsidR="00F20F51" w:rsidRDefault="005B0A5D" w:rsidP="00F20F51">
      <w:pPr>
        <w:pStyle w:val="NormalWeb"/>
        <w:spacing w:line="276" w:lineRule="auto"/>
        <w:ind w:left="1134" w:right="1133" w:firstLine="284"/>
        <w:jc w:val="both"/>
        <w:rPr>
          <w:rFonts w:asciiTheme="minorHAnsi" w:hAnsiTheme="minorHAnsi" w:cstheme="minorHAnsi"/>
        </w:rPr>
      </w:pPr>
      <w:r w:rsidRPr="00F20F51">
        <w:rPr>
          <w:rFonts w:asciiTheme="minorHAnsi" w:hAnsiTheme="minorHAnsi" w:cstheme="minorHAnsi"/>
        </w:rPr>
        <w:t xml:space="preserve">Se o coeficiente de variação diminuir ao longo do tempo, isso é evidência de sigma-convergência. Um aumento no coeficiente de variação e no desvio padrão ao longo do tempo sugere que os países estão divergindo. Um benefício primário de usar sigma-convergência é que ela é fundamentalmente consistente com a forma como entendemos a convergência: é uma medida de como os países, ou outras unidades, estão se tornando semelhantes entre si. Como tal, é uma medida quantitativa robusta para determinar se a convergência está ocorrendo ou não. No entanto, o principal problema ao usar o coeficiente de variação é que uma diminuição dele pode ser impulsionada por um </w:t>
      </w:r>
      <w:r w:rsidRPr="00F20F51">
        <w:rPr>
          <w:rFonts w:asciiTheme="minorHAnsi" w:hAnsiTheme="minorHAnsi" w:cstheme="minorHAnsi"/>
        </w:rPr>
        <w:lastRenderedPageBreak/>
        <w:t>aumento na média em vez de uma diminuição no desvio padrão. Por esse motivo, se não for necessária uma comparação entre indicadores, é preferível medir a sigma-convergência através de uma medida pura de variabilidade, como o desvio padrão. Dessa forma, a medida de dispersão de um indicador não será afetada por mudanças na sua média.</w:t>
      </w:r>
    </w:p>
    <w:p w14:paraId="294868BA" w14:textId="1DB0BECC" w:rsidR="00150BD8" w:rsidRDefault="00150BD8" w:rsidP="00002559">
      <w:pPr>
        <w:pStyle w:val="Ttulo2"/>
        <w:ind w:left="1418"/>
      </w:pPr>
      <w:r>
        <w:t>Gamma</w:t>
      </w:r>
      <w:r w:rsidR="00002559">
        <w:t>-</w:t>
      </w:r>
      <w:r>
        <w:t>convergência</w:t>
      </w:r>
    </w:p>
    <w:p w14:paraId="65F2D797" w14:textId="77777777" w:rsidR="00150BD8" w:rsidRDefault="00150BD8" w:rsidP="00150BD8">
      <w:pPr>
        <w:pStyle w:val="NormalWeb"/>
        <w:spacing w:line="276" w:lineRule="auto"/>
        <w:ind w:left="1134" w:right="1133" w:firstLine="284"/>
        <w:jc w:val="both"/>
        <w:rPr>
          <w:rFonts w:asciiTheme="minorHAnsi" w:hAnsiTheme="minorHAnsi" w:cstheme="minorHAnsi"/>
        </w:rPr>
      </w:pPr>
      <w:r w:rsidRPr="00150BD8">
        <w:rPr>
          <w:rFonts w:asciiTheme="minorHAnsi" w:hAnsiTheme="minorHAnsi" w:cstheme="minorHAnsi"/>
        </w:rPr>
        <w:t xml:space="preserve">O conceito de </w:t>
      </w:r>
      <w:proofErr w:type="spellStart"/>
      <w:r w:rsidRPr="00150BD8">
        <w:rPr>
          <w:rFonts w:asciiTheme="minorHAnsi" w:hAnsiTheme="minorHAnsi" w:cstheme="minorHAnsi"/>
        </w:rPr>
        <w:t>gamma</w:t>
      </w:r>
      <w:proofErr w:type="spellEnd"/>
      <w:r w:rsidRPr="00150BD8">
        <w:rPr>
          <w:rFonts w:asciiTheme="minorHAnsi" w:hAnsiTheme="minorHAnsi" w:cstheme="minorHAnsi"/>
        </w:rPr>
        <w:t xml:space="preserve">-convergência visa capturar os movimentos dos países. Foi desenvolvido como uma variante da beta-convergência, que foi criticada por não capturar aspectos suficientes da dinâmica e mobilidade entre países (Boyle e McCarthy, 1999). Para a análise da </w:t>
      </w:r>
      <w:proofErr w:type="spellStart"/>
      <w:r w:rsidRPr="00150BD8">
        <w:rPr>
          <w:rFonts w:asciiTheme="minorHAnsi" w:hAnsiTheme="minorHAnsi" w:cstheme="minorHAnsi"/>
        </w:rPr>
        <w:t>gamma</w:t>
      </w:r>
      <w:proofErr w:type="spellEnd"/>
      <w:r w:rsidRPr="00150BD8">
        <w:rPr>
          <w:rFonts w:asciiTheme="minorHAnsi" w:hAnsiTheme="minorHAnsi" w:cstheme="minorHAnsi"/>
        </w:rPr>
        <w:t>-convergência, são comparadas as classificações dos países em diferentes momentos no tempo para avaliar a mobilidade entre eles. Se países nos primeiros lugares avançam ou ficam para trás ao longo do tempo, ocorre convergência. As mudanças nos resultados são analisadas por medidas simples de associação, como o índice de concordância de postos de Kendall (Boyle e McCarthy, 1999). O índice de Kendall mede mudanças ao longo do tempo da seguinte forma:</w:t>
      </w:r>
    </w:p>
    <w:p w14:paraId="519F0D15" w14:textId="010A453B" w:rsidR="00002559" w:rsidRPr="00002559" w:rsidRDefault="00002559" w:rsidP="00150BD8">
      <w:pPr>
        <w:pStyle w:val="NormalWeb"/>
        <w:spacing w:line="276" w:lineRule="auto"/>
        <w:ind w:left="1134" w:right="1133" w:firstLine="284"/>
        <w:jc w:val="both"/>
        <w:rPr>
          <w:rFonts w:asciiTheme="minorHAnsi" w:hAnsiTheme="minorHAnsi" w:cstheme="minorHAnsi"/>
          <w:sz w:val="28"/>
          <w:szCs w:val="28"/>
        </w:rPr>
      </w:pPr>
      <m:oMathPara>
        <m:oMath>
          <m:r>
            <w:rPr>
              <w:rFonts w:ascii="Cambria Math" w:hAnsi="Cambria Math" w:cstheme="minorHAnsi"/>
              <w:sz w:val="28"/>
              <w:szCs w:val="28"/>
            </w:rPr>
            <m:t>K</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t</m:t>
              </m:r>
            </m:sub>
          </m:sSub>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Var[</m:t>
              </m:r>
              <m:nary>
                <m:naryPr>
                  <m:chr m:val="∑"/>
                  <m:limLoc m:val="subSup"/>
                  <m:ctrlPr>
                    <w:rPr>
                      <w:rFonts w:ascii="Cambria Math" w:hAnsi="Cambria Math" w:cstheme="minorHAnsi"/>
                      <w:i/>
                      <w:sz w:val="28"/>
                      <w:szCs w:val="28"/>
                    </w:rPr>
                  </m:ctrlPr>
                </m:naryPr>
                <m:sub>
                  <m:r>
                    <w:rPr>
                      <w:rFonts w:ascii="Cambria Math" w:hAnsi="Cambria Math" w:cstheme="minorHAnsi"/>
                      <w:sz w:val="28"/>
                      <w:szCs w:val="28"/>
                    </w:rPr>
                    <m:t>t=0</m:t>
                  </m:r>
                </m:sub>
                <m:sup>
                  <m:r>
                    <w:rPr>
                      <w:rFonts w:ascii="Cambria Math" w:hAnsi="Cambria Math" w:cstheme="minorHAnsi"/>
                      <w:sz w:val="28"/>
                      <w:szCs w:val="28"/>
                    </w:rPr>
                    <m:t>T</m:t>
                  </m:r>
                </m:sup>
                <m:e>
                  <m:sSub>
                    <m:sSubPr>
                      <m:ctrlPr>
                        <w:rPr>
                          <w:rFonts w:ascii="Cambria Math" w:hAnsi="Cambria Math" w:cstheme="minorHAnsi"/>
                          <w:i/>
                          <w:sz w:val="28"/>
                          <w:szCs w:val="28"/>
                        </w:rPr>
                      </m:ctrlPr>
                    </m:sSubPr>
                    <m:e>
                      <m:r>
                        <w:rPr>
                          <w:rFonts w:ascii="Cambria Math" w:hAnsi="Cambria Math" w:cstheme="minorHAnsi"/>
                          <w:sz w:val="28"/>
                          <w:szCs w:val="28"/>
                        </w:rPr>
                        <m:t>rank(Y)</m:t>
                      </m:r>
                    </m:e>
                    <m:sub>
                      <m:r>
                        <w:rPr>
                          <w:rFonts w:ascii="Cambria Math" w:hAnsi="Cambria Math" w:cstheme="minorHAnsi"/>
                          <w:sz w:val="28"/>
                          <w:szCs w:val="28"/>
                        </w:rPr>
                        <m:t>it</m:t>
                      </m:r>
                    </m:sub>
                  </m:sSub>
                  <m:r>
                    <w:rPr>
                      <w:rFonts w:ascii="Cambria Math" w:hAnsi="Cambria Math" w:cstheme="minorHAnsi"/>
                      <w:sz w:val="28"/>
                      <w:szCs w:val="28"/>
                    </w:rPr>
                    <m:t>]</m:t>
                  </m:r>
                </m:e>
              </m:nary>
            </m:num>
            <m:den>
              <m:sSup>
                <m:sSupPr>
                  <m:ctrlPr>
                    <w:rPr>
                      <w:rFonts w:ascii="Cambria Math" w:hAnsi="Cambria Math" w:cstheme="minorHAnsi"/>
                      <w:i/>
                      <w:sz w:val="28"/>
                      <w:szCs w:val="28"/>
                    </w:rPr>
                  </m:ctrlPr>
                </m:sSupPr>
                <m:e>
                  <m:r>
                    <w:rPr>
                      <w:rFonts w:ascii="Cambria Math" w:hAnsi="Cambria Math" w:cstheme="minorHAnsi"/>
                      <w:sz w:val="28"/>
                      <w:szCs w:val="28"/>
                    </w:rPr>
                    <m:t>(T+ 1)</m:t>
                  </m:r>
                </m:e>
                <m:sup>
                  <m:r>
                    <w:rPr>
                      <w:rFonts w:ascii="Cambria Math" w:hAnsi="Cambria Math" w:cstheme="minorHAnsi"/>
                      <w:sz w:val="28"/>
                      <w:szCs w:val="28"/>
                    </w:rPr>
                    <m:t>2</m:t>
                  </m:r>
                </m:sup>
              </m:sSup>
              <m:r>
                <w:rPr>
                  <w:rFonts w:ascii="Cambria Math" w:hAnsi="Cambria Math" w:cstheme="minorHAnsi"/>
                  <w:sz w:val="28"/>
                  <w:szCs w:val="28"/>
                </w:rPr>
                <m:t>Var[rank(</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i,0)</m:t>
                  </m:r>
                </m:sub>
              </m:sSub>
              <m:r>
                <w:rPr>
                  <w:rFonts w:ascii="Cambria Math" w:hAnsi="Cambria Math" w:cstheme="minorHAnsi"/>
                  <w:sz w:val="28"/>
                  <w:szCs w:val="28"/>
                </w:rPr>
                <m:t>]</m:t>
              </m:r>
            </m:den>
          </m:f>
        </m:oMath>
      </m:oMathPara>
    </w:p>
    <w:p w14:paraId="5DC0ADC4" w14:textId="77777777" w:rsidR="00002559" w:rsidRDefault="00150BD8" w:rsidP="00150BD8">
      <w:pPr>
        <w:pStyle w:val="NormalWeb"/>
        <w:spacing w:line="276" w:lineRule="auto"/>
        <w:ind w:left="1134" w:right="1133" w:firstLine="284"/>
        <w:jc w:val="both"/>
        <w:rPr>
          <w:rFonts w:asciiTheme="minorHAnsi" w:hAnsiTheme="minorHAnsi" w:cstheme="minorHAnsi"/>
        </w:rPr>
      </w:pPr>
      <w:r w:rsidRPr="00150BD8">
        <w:rPr>
          <w:rFonts w:asciiTheme="minorHAnsi" w:hAnsiTheme="minorHAnsi" w:cstheme="minorHAnsi"/>
        </w:rPr>
        <w:t xml:space="preserve">O índice assume valores entre 0 e 1. Um baixo grau de similaridade das classificações do índice indica que </w:t>
      </w:r>
      <w:r w:rsidR="00002559" w:rsidRPr="00150BD8">
        <w:rPr>
          <w:rFonts w:asciiTheme="minorHAnsi" w:hAnsiTheme="minorHAnsi" w:cstheme="minorHAnsi"/>
        </w:rPr>
        <w:t>muit</w:t>
      </w:r>
      <w:r w:rsidR="00002559">
        <w:rPr>
          <w:rFonts w:asciiTheme="minorHAnsi" w:hAnsiTheme="minorHAnsi" w:cstheme="minorHAnsi"/>
        </w:rPr>
        <w:t>a</w:t>
      </w:r>
      <w:r w:rsidR="00002559" w:rsidRPr="00150BD8">
        <w:rPr>
          <w:rFonts w:asciiTheme="minorHAnsi" w:hAnsiTheme="minorHAnsi" w:cstheme="minorHAnsi"/>
        </w:rPr>
        <w:t>s mudanças na posição dos países foram</w:t>
      </w:r>
      <w:r w:rsidRPr="00150BD8">
        <w:rPr>
          <w:rFonts w:asciiTheme="minorHAnsi" w:hAnsiTheme="minorHAnsi" w:cstheme="minorHAnsi"/>
        </w:rPr>
        <w:t xml:space="preserve"> observad</w:t>
      </w:r>
      <w:r w:rsidR="00002559">
        <w:rPr>
          <w:rFonts w:asciiTheme="minorHAnsi" w:hAnsiTheme="minorHAnsi" w:cstheme="minorHAnsi"/>
        </w:rPr>
        <w:t>as</w:t>
      </w:r>
      <w:r w:rsidRPr="00150BD8">
        <w:rPr>
          <w:rFonts w:asciiTheme="minorHAnsi" w:hAnsiTheme="minorHAnsi" w:cstheme="minorHAnsi"/>
        </w:rPr>
        <w:t xml:space="preserve"> ao longo do tempo, enquanto valores altos do índice implicam que poucas ou limitadas mudanças foram observadas. A </w:t>
      </w:r>
      <w:proofErr w:type="spellStart"/>
      <w:r w:rsidRPr="00150BD8">
        <w:rPr>
          <w:rFonts w:asciiTheme="minorHAnsi" w:hAnsiTheme="minorHAnsi" w:cstheme="minorHAnsi"/>
        </w:rPr>
        <w:t>gamma</w:t>
      </w:r>
      <w:proofErr w:type="spellEnd"/>
      <w:r w:rsidRPr="00150BD8">
        <w:rPr>
          <w:rFonts w:asciiTheme="minorHAnsi" w:hAnsiTheme="minorHAnsi" w:cstheme="minorHAnsi"/>
        </w:rPr>
        <w:t xml:space="preserve">-convergência adiciona uma perspectiva adicional ao estudo da convergência e permite capturar movimentos que não são contemplados por outros índices. No entanto, segundo </w:t>
      </w:r>
      <w:proofErr w:type="spellStart"/>
      <w:r w:rsidRPr="00150BD8">
        <w:rPr>
          <w:rFonts w:asciiTheme="minorHAnsi" w:hAnsiTheme="minorHAnsi" w:cstheme="minorHAnsi"/>
        </w:rPr>
        <w:t>Heichel</w:t>
      </w:r>
      <w:proofErr w:type="spellEnd"/>
      <w:r w:rsidRPr="00150BD8">
        <w:rPr>
          <w:rFonts w:asciiTheme="minorHAnsi" w:hAnsiTheme="minorHAnsi" w:cstheme="minorHAnsi"/>
        </w:rPr>
        <w:t xml:space="preserve"> et al. (2005), as classificações dos países também podem mudar sem uma diminuição significativa na variação entre países ou sem movimento em direção a um modelo exemplar. </w:t>
      </w:r>
    </w:p>
    <w:p w14:paraId="30459A7E" w14:textId="43D72227" w:rsidR="00150BD8" w:rsidRDefault="00150BD8" w:rsidP="00150BD8">
      <w:pPr>
        <w:pStyle w:val="NormalWeb"/>
        <w:spacing w:line="276" w:lineRule="auto"/>
        <w:ind w:left="1134" w:right="1133" w:firstLine="284"/>
        <w:jc w:val="both"/>
        <w:rPr>
          <w:rFonts w:asciiTheme="minorHAnsi" w:hAnsiTheme="minorHAnsi" w:cstheme="minorHAnsi"/>
        </w:rPr>
      </w:pPr>
      <w:r w:rsidRPr="00150BD8">
        <w:rPr>
          <w:rFonts w:asciiTheme="minorHAnsi" w:hAnsiTheme="minorHAnsi" w:cstheme="minorHAnsi"/>
        </w:rPr>
        <w:t xml:space="preserve">Embora o uso da </w:t>
      </w:r>
      <w:proofErr w:type="spellStart"/>
      <w:r w:rsidRPr="00150BD8">
        <w:rPr>
          <w:rFonts w:asciiTheme="minorHAnsi" w:hAnsiTheme="minorHAnsi" w:cstheme="minorHAnsi"/>
        </w:rPr>
        <w:t>gamma</w:t>
      </w:r>
      <w:proofErr w:type="spellEnd"/>
      <w:r w:rsidRPr="00150BD8">
        <w:rPr>
          <w:rFonts w:asciiTheme="minorHAnsi" w:hAnsiTheme="minorHAnsi" w:cstheme="minorHAnsi"/>
        </w:rPr>
        <w:t xml:space="preserve">-convergência ainda não seja comum, ela representa uma ferramenta promissora para estudos de políticas, pois a ideia de comparar classificações ordinais é compatível também com um design de pesquisa qualitativa. </w:t>
      </w:r>
    </w:p>
    <w:p w14:paraId="6B215703" w14:textId="0DFC92AF" w:rsidR="00002559" w:rsidRDefault="00002559" w:rsidP="00002559">
      <w:pPr>
        <w:pStyle w:val="Ttulo2"/>
        <w:ind w:left="1418"/>
      </w:pPr>
      <w:r>
        <w:t>Delta-convergência</w:t>
      </w:r>
    </w:p>
    <w:p w14:paraId="07AD508E" w14:textId="77777777" w:rsidR="00002559" w:rsidRDefault="00002559" w:rsidP="00002559"/>
    <w:p w14:paraId="3B4EE3DA" w14:textId="77777777" w:rsidR="00002559" w:rsidRDefault="00002559" w:rsidP="00002559">
      <w:pPr>
        <w:pStyle w:val="NormalWeb"/>
        <w:spacing w:line="276" w:lineRule="auto"/>
        <w:ind w:left="1134" w:right="1133" w:firstLine="284"/>
        <w:jc w:val="both"/>
        <w:rPr>
          <w:rFonts w:asciiTheme="minorHAnsi" w:hAnsiTheme="minorHAnsi" w:cstheme="minorHAnsi"/>
        </w:rPr>
      </w:pPr>
      <w:r w:rsidRPr="00002559">
        <w:rPr>
          <w:rFonts w:asciiTheme="minorHAnsi" w:hAnsiTheme="minorHAnsi" w:cstheme="minorHAnsi"/>
        </w:rPr>
        <w:t xml:space="preserve">O termo 'delta-convergência' foi cunhado por </w:t>
      </w:r>
      <w:proofErr w:type="spellStart"/>
      <w:r w:rsidRPr="00002559">
        <w:rPr>
          <w:rFonts w:asciiTheme="minorHAnsi" w:hAnsiTheme="minorHAnsi" w:cstheme="minorHAnsi"/>
        </w:rPr>
        <w:t>Heichel</w:t>
      </w:r>
      <w:proofErr w:type="spellEnd"/>
      <w:r w:rsidRPr="00002559">
        <w:rPr>
          <w:rFonts w:asciiTheme="minorHAnsi" w:hAnsiTheme="minorHAnsi" w:cstheme="minorHAnsi"/>
        </w:rPr>
        <w:t xml:space="preserve"> et al. (2005) para descrever a análise da distância dos países em relação a um modelo exemplar, como o país com melhor desempenho. A delta-convergência pode ser medida, por exemplo, através da soma das distâncias em relação aos melhores desempenhos.</w:t>
      </w:r>
    </w:p>
    <w:p w14:paraId="71F73F38" w14:textId="27688115" w:rsidR="00002559" w:rsidRPr="00002559" w:rsidRDefault="00002559" w:rsidP="00002559">
      <w:pPr>
        <w:pStyle w:val="NormalWeb"/>
        <w:spacing w:line="276" w:lineRule="auto"/>
        <w:ind w:left="1134" w:right="1133" w:firstLine="284"/>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m:t>
              </m:r>
            </m:sup>
            <m:e>
              <m:r>
                <w:rPr>
                  <w:rFonts w:ascii="Cambria Math" w:hAnsi="Cambria Math" w:cstheme="minorHAnsi"/>
                </w:rPr>
                <m:t>(MAX(</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i,t</m:t>
                  </m:r>
                </m:sub>
              </m:sSub>
            </m:e>
          </m:nary>
        </m:oMath>
      </m:oMathPara>
    </w:p>
    <w:p w14:paraId="5C87E40E" w14:textId="77777777" w:rsidR="00002559" w:rsidRPr="00002559" w:rsidRDefault="00002559" w:rsidP="00002559">
      <w:pPr>
        <w:pStyle w:val="NormalWeb"/>
        <w:spacing w:line="276" w:lineRule="auto"/>
        <w:ind w:left="1134" w:right="1133" w:firstLine="284"/>
        <w:jc w:val="both"/>
        <w:rPr>
          <w:rFonts w:asciiTheme="minorHAnsi" w:hAnsiTheme="minorHAnsi" w:cstheme="minorHAnsi"/>
        </w:rPr>
      </w:pPr>
      <w:r w:rsidRPr="00002559">
        <w:rPr>
          <w:rFonts w:asciiTheme="minorHAnsi" w:hAnsiTheme="minorHAnsi" w:cstheme="minorHAnsi"/>
        </w:rPr>
        <w:lastRenderedPageBreak/>
        <w:t>A minimização da distância de um país em relação ao líder ao longo do tempo implica convergência. Especificamente, se a soma das distâncias diminuir ao longo do tempo, isso é evidência de delta-convergência, enquanto um aumento na soma das distâncias sugere que os países estão divergindo. A delta-convergência é uma medida de como os países, ou outras unidades, estão se tornando semelhantes ao país com melhor desempenho. Embora possa ser enviesada pela presença de valores discrepantes, é uma boa medida quantitativa para determinar se está ocorrendo convergência em direção a um determinado alvo de política.</w:t>
      </w:r>
    </w:p>
    <w:p w14:paraId="2D960BE8" w14:textId="651BCFDD" w:rsidR="003617EF" w:rsidRDefault="00002559" w:rsidP="00F20F51">
      <w:pPr>
        <w:pStyle w:val="NormalWeb"/>
        <w:spacing w:line="276" w:lineRule="auto"/>
        <w:ind w:left="1134" w:right="1133" w:firstLine="284"/>
        <w:jc w:val="both"/>
      </w:pPr>
      <w:r w:rsidRPr="00002559">
        <w:rPr>
          <w:rFonts w:asciiTheme="minorHAnsi" w:hAnsiTheme="minorHAnsi" w:cstheme="minorHAnsi"/>
        </w:rPr>
        <w:t>Originalmente, a delta-convergência referia-se ao estudo qualitativo das mudanças nos gastos ou políticas em um pequeno grupo de países (</w:t>
      </w:r>
      <w:proofErr w:type="spellStart"/>
      <w:r w:rsidRPr="00002559">
        <w:rPr>
          <w:rFonts w:asciiTheme="minorHAnsi" w:hAnsiTheme="minorHAnsi" w:cstheme="minorHAnsi"/>
        </w:rPr>
        <w:t>Heichel</w:t>
      </w:r>
      <w:proofErr w:type="spellEnd"/>
      <w:r w:rsidRPr="00002559">
        <w:rPr>
          <w:rFonts w:asciiTheme="minorHAnsi" w:hAnsiTheme="minorHAnsi" w:cstheme="minorHAnsi"/>
        </w:rPr>
        <w:t xml:space="preserve"> et al., 2005). Esses estudos serviram para esclarecer como as políticas mudam qualitativamente ao longo do tempo. No entanto, muitas vezes eram limitados pelo tamanho da amostra, examinando um número pequeno de países em vez de fornecer uma visão geral e comparação regional ou de um grupo maior. Estudos que utilizam delta-convergência geralmente não empregam uma medida explícita de distância. Em vez disso, tendem a ser estudos qualitativos, não necessariamente focados na questão da convergência tanto quanto na compreensão dos processos e trajetórias subjacentes (</w:t>
      </w:r>
      <w:proofErr w:type="spellStart"/>
      <w:r w:rsidRPr="00002559">
        <w:rPr>
          <w:rFonts w:asciiTheme="minorHAnsi" w:hAnsiTheme="minorHAnsi" w:cstheme="minorHAnsi"/>
        </w:rPr>
        <w:t>Plümper</w:t>
      </w:r>
      <w:proofErr w:type="spellEnd"/>
      <w:r w:rsidRPr="00002559">
        <w:rPr>
          <w:rFonts w:asciiTheme="minorHAnsi" w:hAnsiTheme="minorHAnsi" w:cstheme="minorHAnsi"/>
        </w:rPr>
        <w:t xml:space="preserve"> e Schneider, 2009; </w:t>
      </w:r>
      <w:proofErr w:type="spellStart"/>
      <w:r w:rsidRPr="00002559">
        <w:rPr>
          <w:rFonts w:asciiTheme="minorHAnsi" w:hAnsiTheme="minorHAnsi" w:cstheme="minorHAnsi"/>
        </w:rPr>
        <w:t>Noy</w:t>
      </w:r>
      <w:proofErr w:type="spellEnd"/>
      <w:r w:rsidRPr="00002559">
        <w:rPr>
          <w:rFonts w:asciiTheme="minorHAnsi" w:hAnsiTheme="minorHAnsi" w:cstheme="minorHAnsi"/>
        </w:rPr>
        <w:t xml:space="preserve"> e </w:t>
      </w:r>
      <w:proofErr w:type="spellStart"/>
      <w:r w:rsidRPr="00002559">
        <w:rPr>
          <w:rFonts w:asciiTheme="minorHAnsi" w:hAnsiTheme="minorHAnsi" w:cstheme="minorHAnsi"/>
        </w:rPr>
        <w:t>Sprague</w:t>
      </w:r>
      <w:proofErr w:type="spellEnd"/>
      <w:r w:rsidRPr="00002559">
        <w:rPr>
          <w:rFonts w:asciiTheme="minorHAnsi" w:hAnsiTheme="minorHAnsi" w:cstheme="minorHAnsi"/>
        </w:rPr>
        <w:t>-Jones, 2016).</w:t>
      </w:r>
    </w:p>
    <w:p w14:paraId="239CA9CB" w14:textId="77777777" w:rsidR="00797787" w:rsidRDefault="00797787" w:rsidP="003617EF"/>
    <w:sectPr w:rsidR="00797787" w:rsidSect="00150BD8">
      <w:headerReference w:type="default" r:id="rId8"/>
      <w:footerReference w:type="default" r:id="rId9"/>
      <w:pgSz w:w="11906" w:h="16838"/>
      <w:pgMar w:top="1147" w:right="0" w:bottom="1560" w:left="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467FB" w14:textId="77777777" w:rsidR="00821F57" w:rsidRDefault="00821F57" w:rsidP="00484D41">
      <w:pPr>
        <w:spacing w:after="0" w:line="240" w:lineRule="auto"/>
      </w:pPr>
      <w:r>
        <w:separator/>
      </w:r>
    </w:p>
  </w:endnote>
  <w:endnote w:type="continuationSeparator" w:id="0">
    <w:p w14:paraId="7F9F8649" w14:textId="77777777" w:rsidR="00821F57" w:rsidRDefault="00821F57" w:rsidP="0048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4828" w14:textId="77777777" w:rsidR="00484D41" w:rsidRDefault="00484D41" w:rsidP="00484D41">
    <w:pPr>
      <w:pStyle w:val="Rodap"/>
      <w:tabs>
        <w:tab w:val="clear" w:pos="4252"/>
        <w:tab w:val="clear" w:pos="8504"/>
        <w:tab w:val="left" w:pos="0"/>
      </w:tabs>
      <w:rPr>
        <w:noProof/>
      </w:rPr>
    </w:pPr>
    <w:r>
      <w:tab/>
    </w:r>
    <w:r>
      <w:rPr>
        <w:noProof/>
      </w:rPr>
      <w:drawing>
        <wp:inline distT="0" distB="0" distL="0" distR="0" wp14:anchorId="569FF095" wp14:editId="50DD56A0">
          <wp:extent cx="7560310" cy="291392"/>
          <wp:effectExtent l="0" t="0" r="0" b="0"/>
          <wp:docPr id="22" name="Imagem 22" descr="Uma imagem contend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Word&#10;&#10;Descrição gerada automaticamente"/>
                  <pic:cNvPicPr/>
                </pic:nvPicPr>
                <pic:blipFill rotWithShape="1">
                  <a:blip r:embed="rId1">
                    <a:extLst>
                      <a:ext uri="{28A0092B-C50C-407E-A947-70E740481C1C}">
                        <a14:useLocalDpi xmlns:a14="http://schemas.microsoft.com/office/drawing/2010/main" val="0"/>
                      </a:ext>
                    </a:extLst>
                  </a:blip>
                  <a:srcRect t="93142"/>
                  <a:stretch/>
                </pic:blipFill>
                <pic:spPr bwMode="auto">
                  <a:xfrm>
                    <a:off x="0" y="0"/>
                    <a:ext cx="7560310" cy="291392"/>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7E6E4" w14:textId="77777777" w:rsidR="00821F57" w:rsidRDefault="00821F57" w:rsidP="00484D41">
      <w:pPr>
        <w:spacing w:after="0" w:line="240" w:lineRule="auto"/>
      </w:pPr>
      <w:r>
        <w:separator/>
      </w:r>
    </w:p>
  </w:footnote>
  <w:footnote w:type="continuationSeparator" w:id="0">
    <w:p w14:paraId="1EAFD5EB" w14:textId="77777777" w:rsidR="00821F57" w:rsidRDefault="00821F57" w:rsidP="00484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07E1" w14:textId="77777777" w:rsidR="00484D41" w:rsidRDefault="00484D41" w:rsidP="00484D41">
    <w:pPr>
      <w:pStyle w:val="Cabealho"/>
      <w:ind w:left="-993"/>
      <w:rPr>
        <w:noProof/>
      </w:rPr>
    </w:pPr>
  </w:p>
  <w:p w14:paraId="4FECFF0E" w14:textId="77777777" w:rsidR="00484D41" w:rsidRDefault="00484D41" w:rsidP="00484D41">
    <w:pPr>
      <w:pStyle w:val="Cabealho"/>
      <w:tabs>
        <w:tab w:val="clear" w:pos="8504"/>
      </w:tabs>
    </w:pPr>
    <w:r>
      <w:rPr>
        <w:noProof/>
      </w:rPr>
      <w:drawing>
        <wp:inline distT="0" distB="0" distL="0" distR="0" wp14:anchorId="0935EE6B" wp14:editId="7508332B">
          <wp:extent cx="7562218" cy="291676"/>
          <wp:effectExtent l="0" t="0" r="635" b="0"/>
          <wp:docPr id="21" name="Imagem 21" descr="Uma imagem contend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Word&#10;&#10;Descrição gerada automaticamente"/>
                  <pic:cNvPicPr/>
                </pic:nvPicPr>
                <pic:blipFill rotWithShape="1">
                  <a:blip r:embed="rId1">
                    <a:extLst>
                      <a:ext uri="{28A0092B-C50C-407E-A947-70E740481C1C}">
                        <a14:useLocalDpi xmlns:a14="http://schemas.microsoft.com/office/drawing/2010/main" val="0"/>
                      </a:ext>
                    </a:extLst>
                  </a:blip>
                  <a:srcRect t="93142"/>
                  <a:stretch/>
                </pic:blipFill>
                <pic:spPr bwMode="auto">
                  <a:xfrm>
                    <a:off x="0" y="0"/>
                    <a:ext cx="8212232" cy="31674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953C6"/>
    <w:multiLevelType w:val="hybridMultilevel"/>
    <w:tmpl w:val="2780CA44"/>
    <w:lvl w:ilvl="0" w:tplc="D98A467A">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16cid:durableId="80258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41"/>
    <w:rsid w:val="00002559"/>
    <w:rsid w:val="00150BD8"/>
    <w:rsid w:val="00173CCC"/>
    <w:rsid w:val="003617EF"/>
    <w:rsid w:val="00432A0E"/>
    <w:rsid w:val="00484D41"/>
    <w:rsid w:val="005B0A5D"/>
    <w:rsid w:val="00797787"/>
    <w:rsid w:val="00821F57"/>
    <w:rsid w:val="0088693D"/>
    <w:rsid w:val="00967783"/>
    <w:rsid w:val="009B656E"/>
    <w:rsid w:val="00A16271"/>
    <w:rsid w:val="00AD5C63"/>
    <w:rsid w:val="00C752B5"/>
    <w:rsid w:val="00CC36BB"/>
    <w:rsid w:val="00D44D58"/>
    <w:rsid w:val="00D66D35"/>
    <w:rsid w:val="00E015A2"/>
    <w:rsid w:val="00E64C7C"/>
    <w:rsid w:val="00E878BC"/>
    <w:rsid w:val="00ED005B"/>
    <w:rsid w:val="00F20F51"/>
    <w:rsid w:val="00FB5AEE"/>
    <w:rsid w:val="00FD04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11170"/>
  <w15:chartTrackingRefBased/>
  <w15:docId w15:val="{C0FA867F-B1FA-4D4C-94EF-9CA41A63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B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F51"/>
  </w:style>
  <w:style w:type="paragraph" w:styleId="Ttulo1">
    <w:name w:val="heading 1"/>
    <w:basedOn w:val="Normal"/>
    <w:next w:val="Normal"/>
    <w:link w:val="Ttulo1Char"/>
    <w:uiPriority w:val="9"/>
    <w:qFormat/>
    <w:rsid w:val="00F20F51"/>
    <w:pPr>
      <w:keepNext/>
      <w:keepLines/>
      <w:pBdr>
        <w:left w:val="single" w:sz="12" w:space="12" w:color="BD582C"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9"/>
    <w:unhideWhenUsed/>
    <w:qFormat/>
    <w:rsid w:val="00F20F51"/>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semiHidden/>
    <w:unhideWhenUsed/>
    <w:qFormat/>
    <w:rsid w:val="00F20F51"/>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semiHidden/>
    <w:unhideWhenUsed/>
    <w:qFormat/>
    <w:rsid w:val="00F20F51"/>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semiHidden/>
    <w:unhideWhenUsed/>
    <w:qFormat/>
    <w:rsid w:val="00F20F51"/>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semiHidden/>
    <w:unhideWhenUsed/>
    <w:qFormat/>
    <w:rsid w:val="00F20F51"/>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semiHidden/>
    <w:unhideWhenUsed/>
    <w:qFormat/>
    <w:rsid w:val="00F20F5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F20F51"/>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semiHidden/>
    <w:unhideWhenUsed/>
    <w:qFormat/>
    <w:rsid w:val="00F20F51"/>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4D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4D41"/>
  </w:style>
  <w:style w:type="paragraph" w:styleId="Rodap">
    <w:name w:val="footer"/>
    <w:basedOn w:val="Normal"/>
    <w:link w:val="RodapChar"/>
    <w:uiPriority w:val="99"/>
    <w:unhideWhenUsed/>
    <w:rsid w:val="00484D41"/>
    <w:pPr>
      <w:tabs>
        <w:tab w:val="center" w:pos="4252"/>
        <w:tab w:val="right" w:pos="8504"/>
      </w:tabs>
      <w:spacing w:after="0" w:line="240" w:lineRule="auto"/>
    </w:pPr>
  </w:style>
  <w:style w:type="character" w:customStyle="1" w:styleId="RodapChar">
    <w:name w:val="Rodapé Char"/>
    <w:basedOn w:val="Fontepargpadro"/>
    <w:link w:val="Rodap"/>
    <w:uiPriority w:val="99"/>
    <w:rsid w:val="00484D41"/>
  </w:style>
  <w:style w:type="paragraph" w:styleId="PargrafodaLista">
    <w:name w:val="List Paragraph"/>
    <w:basedOn w:val="Normal"/>
    <w:uiPriority w:val="34"/>
    <w:qFormat/>
    <w:rsid w:val="00484D41"/>
    <w:pPr>
      <w:ind w:left="720"/>
      <w:contextualSpacing/>
    </w:pPr>
  </w:style>
  <w:style w:type="character" w:customStyle="1" w:styleId="Ttulo1Char">
    <w:name w:val="Título 1 Char"/>
    <w:basedOn w:val="Fontepargpadro"/>
    <w:link w:val="Ttulo1"/>
    <w:uiPriority w:val="9"/>
    <w:rsid w:val="00F20F51"/>
    <w:rPr>
      <w:rFonts w:asciiTheme="majorHAnsi" w:eastAsiaTheme="majorEastAsia" w:hAnsiTheme="majorHAnsi" w:cstheme="majorBidi"/>
      <w:caps/>
      <w:spacing w:val="10"/>
      <w:sz w:val="36"/>
      <w:szCs w:val="36"/>
    </w:rPr>
  </w:style>
  <w:style w:type="paragraph" w:styleId="CabealhodoSumrio">
    <w:name w:val="TOC Heading"/>
    <w:basedOn w:val="Ttulo1"/>
    <w:next w:val="Normal"/>
    <w:uiPriority w:val="39"/>
    <w:unhideWhenUsed/>
    <w:qFormat/>
    <w:rsid w:val="00F20F51"/>
    <w:pPr>
      <w:outlineLvl w:val="9"/>
    </w:pPr>
  </w:style>
  <w:style w:type="character" w:customStyle="1" w:styleId="Ttulo2Char">
    <w:name w:val="Título 2 Char"/>
    <w:basedOn w:val="Fontepargpadro"/>
    <w:link w:val="Ttulo2"/>
    <w:uiPriority w:val="9"/>
    <w:rsid w:val="00F20F51"/>
    <w:rPr>
      <w:rFonts w:asciiTheme="majorHAnsi" w:eastAsiaTheme="majorEastAsia" w:hAnsiTheme="majorHAnsi" w:cstheme="majorBidi"/>
      <w:sz w:val="36"/>
      <w:szCs w:val="36"/>
    </w:rPr>
  </w:style>
  <w:style w:type="character" w:customStyle="1" w:styleId="Ttulo3Char">
    <w:name w:val="Título 3 Char"/>
    <w:basedOn w:val="Fontepargpadro"/>
    <w:link w:val="Ttulo3"/>
    <w:uiPriority w:val="9"/>
    <w:semiHidden/>
    <w:rsid w:val="00F20F51"/>
    <w:rPr>
      <w:rFonts w:asciiTheme="majorHAnsi" w:eastAsiaTheme="majorEastAsia" w:hAnsiTheme="majorHAnsi" w:cstheme="majorBidi"/>
      <w:caps/>
      <w:sz w:val="28"/>
      <w:szCs w:val="28"/>
    </w:rPr>
  </w:style>
  <w:style w:type="character" w:customStyle="1" w:styleId="Ttulo4Char">
    <w:name w:val="Título 4 Char"/>
    <w:basedOn w:val="Fontepargpadro"/>
    <w:link w:val="Ttulo4"/>
    <w:uiPriority w:val="9"/>
    <w:semiHidden/>
    <w:rsid w:val="00F20F51"/>
    <w:rPr>
      <w:rFonts w:asciiTheme="majorHAnsi" w:eastAsiaTheme="majorEastAsia" w:hAnsiTheme="majorHAnsi" w:cstheme="majorBidi"/>
      <w:i/>
      <w:iCs/>
      <w:sz w:val="28"/>
      <w:szCs w:val="28"/>
    </w:rPr>
  </w:style>
  <w:style w:type="character" w:customStyle="1" w:styleId="Ttulo5Char">
    <w:name w:val="Título 5 Char"/>
    <w:basedOn w:val="Fontepargpadro"/>
    <w:link w:val="Ttulo5"/>
    <w:uiPriority w:val="9"/>
    <w:semiHidden/>
    <w:rsid w:val="00F20F51"/>
    <w:rPr>
      <w:rFonts w:asciiTheme="majorHAnsi" w:eastAsiaTheme="majorEastAsia" w:hAnsiTheme="majorHAnsi" w:cstheme="majorBidi"/>
      <w:sz w:val="24"/>
      <w:szCs w:val="24"/>
    </w:rPr>
  </w:style>
  <w:style w:type="character" w:customStyle="1" w:styleId="Ttulo6Char">
    <w:name w:val="Título 6 Char"/>
    <w:basedOn w:val="Fontepargpadro"/>
    <w:link w:val="Ttulo6"/>
    <w:uiPriority w:val="9"/>
    <w:semiHidden/>
    <w:rsid w:val="00F20F51"/>
    <w:rPr>
      <w:rFonts w:asciiTheme="majorHAnsi" w:eastAsiaTheme="majorEastAsia" w:hAnsiTheme="majorHAnsi" w:cstheme="majorBidi"/>
      <w:i/>
      <w:iCs/>
      <w:sz w:val="24"/>
      <w:szCs w:val="24"/>
    </w:rPr>
  </w:style>
  <w:style w:type="character" w:customStyle="1" w:styleId="Ttulo7Char">
    <w:name w:val="Título 7 Char"/>
    <w:basedOn w:val="Fontepargpadro"/>
    <w:link w:val="Ttulo7"/>
    <w:uiPriority w:val="9"/>
    <w:semiHidden/>
    <w:rsid w:val="00F20F51"/>
    <w:rPr>
      <w:rFonts w:asciiTheme="majorHAnsi" w:eastAsiaTheme="majorEastAsia" w:hAnsiTheme="majorHAnsi" w:cstheme="majorBidi"/>
      <w:color w:val="595959" w:themeColor="text1" w:themeTint="A6"/>
      <w:sz w:val="24"/>
      <w:szCs w:val="24"/>
    </w:rPr>
  </w:style>
  <w:style w:type="character" w:customStyle="1" w:styleId="Ttulo8Char">
    <w:name w:val="Título 8 Char"/>
    <w:basedOn w:val="Fontepargpadro"/>
    <w:link w:val="Ttulo8"/>
    <w:uiPriority w:val="9"/>
    <w:semiHidden/>
    <w:rsid w:val="00F20F51"/>
    <w:rPr>
      <w:rFonts w:asciiTheme="majorHAnsi" w:eastAsiaTheme="majorEastAsia" w:hAnsiTheme="majorHAnsi" w:cstheme="majorBidi"/>
      <w:caps/>
    </w:rPr>
  </w:style>
  <w:style w:type="character" w:customStyle="1" w:styleId="Ttulo9Char">
    <w:name w:val="Título 9 Char"/>
    <w:basedOn w:val="Fontepargpadro"/>
    <w:link w:val="Ttulo9"/>
    <w:uiPriority w:val="9"/>
    <w:semiHidden/>
    <w:rsid w:val="00F20F51"/>
    <w:rPr>
      <w:rFonts w:asciiTheme="majorHAnsi" w:eastAsiaTheme="majorEastAsia" w:hAnsiTheme="majorHAnsi" w:cstheme="majorBidi"/>
      <w:i/>
      <w:iCs/>
      <w:caps/>
    </w:rPr>
  </w:style>
  <w:style w:type="paragraph" w:styleId="Legenda">
    <w:name w:val="caption"/>
    <w:basedOn w:val="Normal"/>
    <w:next w:val="Normal"/>
    <w:uiPriority w:val="35"/>
    <w:semiHidden/>
    <w:unhideWhenUsed/>
    <w:qFormat/>
    <w:rsid w:val="00F20F51"/>
    <w:pPr>
      <w:spacing w:line="240" w:lineRule="auto"/>
    </w:pPr>
    <w:rPr>
      <w:b/>
      <w:bCs/>
      <w:color w:val="BD582C" w:themeColor="accent2"/>
      <w:spacing w:val="10"/>
      <w:sz w:val="16"/>
      <w:szCs w:val="16"/>
    </w:rPr>
  </w:style>
  <w:style w:type="paragraph" w:styleId="Ttulo">
    <w:name w:val="Title"/>
    <w:basedOn w:val="Normal"/>
    <w:next w:val="Normal"/>
    <w:link w:val="TtuloChar"/>
    <w:uiPriority w:val="10"/>
    <w:qFormat/>
    <w:rsid w:val="00F20F51"/>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har">
    <w:name w:val="Título Char"/>
    <w:basedOn w:val="Fontepargpadro"/>
    <w:link w:val="Ttulo"/>
    <w:uiPriority w:val="10"/>
    <w:rsid w:val="00F20F51"/>
    <w:rPr>
      <w:rFonts w:asciiTheme="majorHAnsi" w:eastAsiaTheme="majorEastAsia" w:hAnsiTheme="majorHAnsi" w:cstheme="majorBidi"/>
      <w:caps/>
      <w:spacing w:val="40"/>
      <w:sz w:val="76"/>
      <w:szCs w:val="76"/>
    </w:rPr>
  </w:style>
  <w:style w:type="paragraph" w:styleId="Subttulo">
    <w:name w:val="Subtitle"/>
    <w:basedOn w:val="Normal"/>
    <w:next w:val="Normal"/>
    <w:link w:val="SubttuloChar"/>
    <w:uiPriority w:val="11"/>
    <w:qFormat/>
    <w:rsid w:val="00F20F51"/>
    <w:pPr>
      <w:numPr>
        <w:ilvl w:val="1"/>
      </w:numPr>
      <w:spacing w:after="240"/>
    </w:pPr>
    <w:rPr>
      <w:color w:val="000000" w:themeColor="text1"/>
      <w:sz w:val="24"/>
      <w:szCs w:val="24"/>
    </w:rPr>
  </w:style>
  <w:style w:type="character" w:customStyle="1" w:styleId="SubttuloChar">
    <w:name w:val="Subtítulo Char"/>
    <w:basedOn w:val="Fontepargpadro"/>
    <w:link w:val="Subttulo"/>
    <w:uiPriority w:val="11"/>
    <w:rsid w:val="00F20F51"/>
    <w:rPr>
      <w:color w:val="000000" w:themeColor="text1"/>
      <w:sz w:val="24"/>
      <w:szCs w:val="24"/>
    </w:rPr>
  </w:style>
  <w:style w:type="character" w:styleId="Forte">
    <w:name w:val="Strong"/>
    <w:basedOn w:val="Fontepargpadro"/>
    <w:uiPriority w:val="22"/>
    <w:qFormat/>
    <w:rsid w:val="00F20F51"/>
    <w:rPr>
      <w:rFonts w:asciiTheme="minorHAnsi" w:eastAsiaTheme="minorEastAsia" w:hAnsiTheme="minorHAnsi" w:cstheme="minorBidi"/>
      <w:b/>
      <w:bCs/>
      <w:spacing w:val="0"/>
      <w:w w:val="100"/>
      <w:position w:val="0"/>
      <w:sz w:val="20"/>
      <w:szCs w:val="20"/>
    </w:rPr>
  </w:style>
  <w:style w:type="character" w:styleId="nfase">
    <w:name w:val="Emphasis"/>
    <w:basedOn w:val="Fontepargpadro"/>
    <w:uiPriority w:val="20"/>
    <w:qFormat/>
    <w:rsid w:val="00F20F51"/>
    <w:rPr>
      <w:rFonts w:asciiTheme="minorHAnsi" w:eastAsiaTheme="minorEastAsia" w:hAnsiTheme="minorHAnsi" w:cstheme="minorBidi"/>
      <w:i/>
      <w:iCs/>
      <w:color w:val="8D4121" w:themeColor="accent2" w:themeShade="BF"/>
      <w:sz w:val="20"/>
      <w:szCs w:val="20"/>
    </w:rPr>
  </w:style>
  <w:style w:type="paragraph" w:styleId="SemEspaamento">
    <w:name w:val="No Spacing"/>
    <w:uiPriority w:val="1"/>
    <w:qFormat/>
    <w:rsid w:val="00F20F51"/>
    <w:pPr>
      <w:spacing w:after="0" w:line="240" w:lineRule="auto"/>
    </w:pPr>
  </w:style>
  <w:style w:type="paragraph" w:styleId="Citao">
    <w:name w:val="Quote"/>
    <w:basedOn w:val="Normal"/>
    <w:next w:val="Normal"/>
    <w:link w:val="CitaoChar"/>
    <w:uiPriority w:val="29"/>
    <w:qFormat/>
    <w:rsid w:val="00F20F51"/>
    <w:pPr>
      <w:spacing w:before="160"/>
      <w:ind w:left="720"/>
    </w:pPr>
    <w:rPr>
      <w:rFonts w:asciiTheme="majorHAnsi" w:eastAsiaTheme="majorEastAsia" w:hAnsiTheme="majorHAnsi" w:cstheme="majorBidi"/>
      <w:sz w:val="24"/>
      <w:szCs w:val="24"/>
    </w:rPr>
  </w:style>
  <w:style w:type="character" w:customStyle="1" w:styleId="CitaoChar">
    <w:name w:val="Citação Char"/>
    <w:basedOn w:val="Fontepargpadro"/>
    <w:link w:val="Citao"/>
    <w:uiPriority w:val="29"/>
    <w:rsid w:val="00F20F51"/>
    <w:rPr>
      <w:rFonts w:asciiTheme="majorHAnsi" w:eastAsiaTheme="majorEastAsia" w:hAnsiTheme="majorHAnsi" w:cstheme="majorBidi"/>
      <w:sz w:val="24"/>
      <w:szCs w:val="24"/>
    </w:rPr>
  </w:style>
  <w:style w:type="paragraph" w:styleId="CitaoIntensa">
    <w:name w:val="Intense Quote"/>
    <w:basedOn w:val="Normal"/>
    <w:next w:val="Normal"/>
    <w:link w:val="CitaoIntensaChar"/>
    <w:uiPriority w:val="30"/>
    <w:qFormat/>
    <w:rsid w:val="00F20F51"/>
    <w:pPr>
      <w:spacing w:before="100" w:beforeAutospacing="1" w:after="240"/>
      <w:ind w:left="936" w:right="936"/>
      <w:jc w:val="center"/>
    </w:pPr>
    <w:rPr>
      <w:rFonts w:asciiTheme="majorHAnsi" w:eastAsiaTheme="majorEastAsia" w:hAnsiTheme="majorHAnsi" w:cstheme="majorBidi"/>
      <w:caps/>
      <w:color w:val="8D4121" w:themeColor="accent2" w:themeShade="BF"/>
      <w:spacing w:val="10"/>
      <w:sz w:val="28"/>
      <w:szCs w:val="28"/>
    </w:rPr>
  </w:style>
  <w:style w:type="character" w:customStyle="1" w:styleId="CitaoIntensaChar">
    <w:name w:val="Citação Intensa Char"/>
    <w:basedOn w:val="Fontepargpadro"/>
    <w:link w:val="CitaoIntensa"/>
    <w:uiPriority w:val="30"/>
    <w:rsid w:val="00F20F51"/>
    <w:rPr>
      <w:rFonts w:asciiTheme="majorHAnsi" w:eastAsiaTheme="majorEastAsia" w:hAnsiTheme="majorHAnsi" w:cstheme="majorBidi"/>
      <w:caps/>
      <w:color w:val="8D4121" w:themeColor="accent2" w:themeShade="BF"/>
      <w:spacing w:val="10"/>
      <w:sz w:val="28"/>
      <w:szCs w:val="28"/>
    </w:rPr>
  </w:style>
  <w:style w:type="character" w:styleId="nfaseSutil">
    <w:name w:val="Subtle Emphasis"/>
    <w:basedOn w:val="Fontepargpadro"/>
    <w:uiPriority w:val="19"/>
    <w:qFormat/>
    <w:rsid w:val="00F20F51"/>
    <w:rPr>
      <w:i/>
      <w:iCs/>
      <w:color w:val="auto"/>
    </w:rPr>
  </w:style>
  <w:style w:type="character" w:styleId="nfaseIntensa">
    <w:name w:val="Intense Emphasis"/>
    <w:basedOn w:val="Fontepargpadro"/>
    <w:uiPriority w:val="21"/>
    <w:qFormat/>
    <w:rsid w:val="00F20F51"/>
    <w:rPr>
      <w:rFonts w:asciiTheme="minorHAnsi" w:eastAsiaTheme="minorEastAsia" w:hAnsiTheme="minorHAnsi" w:cstheme="minorBidi"/>
      <w:b/>
      <w:bCs/>
      <w:i/>
      <w:iCs/>
      <w:color w:val="8D4121" w:themeColor="accent2" w:themeShade="BF"/>
      <w:spacing w:val="0"/>
      <w:w w:val="100"/>
      <w:position w:val="0"/>
      <w:sz w:val="20"/>
      <w:szCs w:val="20"/>
    </w:rPr>
  </w:style>
  <w:style w:type="character" w:styleId="RefernciaSutil">
    <w:name w:val="Subtle Reference"/>
    <w:basedOn w:val="Fontepargpadro"/>
    <w:uiPriority w:val="31"/>
    <w:qFormat/>
    <w:rsid w:val="00F20F5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F20F5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F20F51"/>
    <w:rPr>
      <w:rFonts w:asciiTheme="minorHAnsi" w:eastAsiaTheme="minorEastAsia" w:hAnsiTheme="minorHAnsi" w:cstheme="minorBidi"/>
      <w:b/>
      <w:bCs/>
      <w:i/>
      <w:iCs/>
      <w:caps w:val="0"/>
      <w:smallCaps w:val="0"/>
      <w:color w:val="auto"/>
      <w:spacing w:val="10"/>
      <w:w w:val="100"/>
      <w:sz w:val="20"/>
      <w:szCs w:val="20"/>
    </w:rPr>
  </w:style>
  <w:style w:type="paragraph" w:styleId="NormalWeb">
    <w:name w:val="Normal (Web)"/>
    <w:basedOn w:val="Normal"/>
    <w:uiPriority w:val="99"/>
    <w:unhideWhenUsed/>
    <w:rsid w:val="005B0A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atex-mathml">
    <w:name w:val="katex-mathml"/>
    <w:basedOn w:val="Fontepargpadro"/>
    <w:rsid w:val="005B0A5D"/>
  </w:style>
  <w:style w:type="character" w:customStyle="1" w:styleId="mord">
    <w:name w:val="mord"/>
    <w:basedOn w:val="Fontepargpadro"/>
    <w:rsid w:val="005B0A5D"/>
  </w:style>
  <w:style w:type="character" w:customStyle="1" w:styleId="vlist-s">
    <w:name w:val="vlist-s"/>
    <w:basedOn w:val="Fontepargpadro"/>
    <w:rsid w:val="005B0A5D"/>
  </w:style>
  <w:style w:type="character" w:customStyle="1" w:styleId="mrel">
    <w:name w:val="mrel"/>
    <w:basedOn w:val="Fontepargpadro"/>
    <w:rsid w:val="005B0A5D"/>
  </w:style>
  <w:style w:type="character" w:styleId="TextodoEspaoReservado">
    <w:name w:val="Placeholder Text"/>
    <w:basedOn w:val="Fontepargpadro"/>
    <w:uiPriority w:val="99"/>
    <w:semiHidden/>
    <w:rsid w:val="00F20F51"/>
    <w:rPr>
      <w:color w:val="808080"/>
    </w:rPr>
  </w:style>
  <w:style w:type="paragraph" w:styleId="Sumrio2">
    <w:name w:val="toc 2"/>
    <w:basedOn w:val="Normal"/>
    <w:next w:val="Normal"/>
    <w:autoRedefine/>
    <w:uiPriority w:val="39"/>
    <w:unhideWhenUsed/>
    <w:rsid w:val="00F20F51"/>
    <w:pPr>
      <w:spacing w:after="100" w:line="259" w:lineRule="auto"/>
      <w:ind w:left="220"/>
    </w:pPr>
    <w:rPr>
      <w:rFonts w:cs="Times New Roman"/>
      <w:sz w:val="22"/>
      <w:szCs w:val="22"/>
      <w:lang w:eastAsia="pt-BR"/>
    </w:rPr>
  </w:style>
  <w:style w:type="paragraph" w:styleId="Sumrio1">
    <w:name w:val="toc 1"/>
    <w:basedOn w:val="Normal"/>
    <w:next w:val="Normal"/>
    <w:autoRedefine/>
    <w:uiPriority w:val="39"/>
    <w:unhideWhenUsed/>
    <w:rsid w:val="00F20F51"/>
    <w:pPr>
      <w:spacing w:after="100" w:line="259" w:lineRule="auto"/>
    </w:pPr>
    <w:rPr>
      <w:rFonts w:cs="Times New Roman"/>
      <w:sz w:val="22"/>
      <w:szCs w:val="22"/>
      <w:lang w:eastAsia="pt-BR"/>
    </w:rPr>
  </w:style>
  <w:style w:type="paragraph" w:styleId="Sumrio3">
    <w:name w:val="toc 3"/>
    <w:basedOn w:val="Normal"/>
    <w:next w:val="Normal"/>
    <w:autoRedefine/>
    <w:uiPriority w:val="39"/>
    <w:unhideWhenUsed/>
    <w:rsid w:val="00F20F51"/>
    <w:pPr>
      <w:spacing w:after="100" w:line="259" w:lineRule="auto"/>
      <w:ind w:left="440"/>
    </w:pPr>
    <w:rPr>
      <w:rFonts w:cs="Times New Roman"/>
      <w:sz w:val="22"/>
      <w:szCs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722">
      <w:bodyDiv w:val="1"/>
      <w:marLeft w:val="0"/>
      <w:marRight w:val="0"/>
      <w:marTop w:val="0"/>
      <w:marBottom w:val="0"/>
      <w:divBdr>
        <w:top w:val="none" w:sz="0" w:space="0" w:color="auto"/>
        <w:left w:val="none" w:sz="0" w:space="0" w:color="auto"/>
        <w:bottom w:val="none" w:sz="0" w:space="0" w:color="auto"/>
        <w:right w:val="none" w:sz="0" w:space="0" w:color="auto"/>
      </w:divBdr>
    </w:div>
    <w:div w:id="485171673">
      <w:bodyDiv w:val="1"/>
      <w:marLeft w:val="0"/>
      <w:marRight w:val="0"/>
      <w:marTop w:val="0"/>
      <w:marBottom w:val="0"/>
      <w:divBdr>
        <w:top w:val="none" w:sz="0" w:space="0" w:color="auto"/>
        <w:left w:val="none" w:sz="0" w:space="0" w:color="auto"/>
        <w:bottom w:val="none" w:sz="0" w:space="0" w:color="auto"/>
        <w:right w:val="none" w:sz="0" w:space="0" w:color="auto"/>
      </w:divBdr>
    </w:div>
    <w:div w:id="539898023">
      <w:bodyDiv w:val="1"/>
      <w:marLeft w:val="0"/>
      <w:marRight w:val="0"/>
      <w:marTop w:val="0"/>
      <w:marBottom w:val="0"/>
      <w:divBdr>
        <w:top w:val="none" w:sz="0" w:space="0" w:color="auto"/>
        <w:left w:val="none" w:sz="0" w:space="0" w:color="auto"/>
        <w:bottom w:val="none" w:sz="0" w:space="0" w:color="auto"/>
        <w:right w:val="none" w:sz="0" w:space="0" w:color="auto"/>
      </w:divBdr>
    </w:div>
    <w:div w:id="726756980">
      <w:bodyDiv w:val="1"/>
      <w:marLeft w:val="0"/>
      <w:marRight w:val="0"/>
      <w:marTop w:val="0"/>
      <w:marBottom w:val="0"/>
      <w:divBdr>
        <w:top w:val="none" w:sz="0" w:space="0" w:color="auto"/>
        <w:left w:val="none" w:sz="0" w:space="0" w:color="auto"/>
        <w:bottom w:val="none" w:sz="0" w:space="0" w:color="auto"/>
        <w:right w:val="none" w:sz="0" w:space="0" w:color="auto"/>
      </w:divBdr>
    </w:div>
    <w:div w:id="195297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trospectiva">
  <a:themeElements>
    <a:clrScheme name="Retrospectiv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iva">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iva">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CD6CF-DB18-43A4-A131-06178F4D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1393</Words>
  <Characters>7523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Paulo Gonçalves P. dos Santos</dc:creator>
  <cp:keywords/>
  <dc:description/>
  <cp:lastModifiedBy>Marcus Paulo Gonçalves P. dos Santos</cp:lastModifiedBy>
  <cp:revision>3</cp:revision>
  <dcterms:created xsi:type="dcterms:W3CDTF">2024-06-27T13:25:00Z</dcterms:created>
  <dcterms:modified xsi:type="dcterms:W3CDTF">2024-06-28T16:22:00Z</dcterms:modified>
</cp:coreProperties>
</file>