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Ficha JSON: cierre diario, cambio %, OHLCV, SMA 20/50, RSI 14, retorno, volatilidad y volumen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>Llave de OpenAI del grupo. En OpenAI Platform crea una llave para el diplomado y configura un límite de gasto. El modelo predeterminado del proyecto es gpt-5.1, solicitado para esta práctica. OpenAI lo identifica actualmente como un modelo obsoleto. Revisa los precios vigentes antes de definir el límite.</w:t>
      </w:r>
      <w:r>
        <w:t xml:space="preserve"/>
      </w:r>
      <w:r>
        <w:rPr>
          <w:b/>
          <w:bCs/>
        </w:rPr>
        <w:t xml:space="preserve"/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Times New Roman" w:hAnsi="Times New Roman"/>
          <w:sz w:val="21"/>
        </w:rPr>
        <w:t>Cuota de Alpha Vantage. La llave gratuita ofrece normalmente 25 solicitudes diarias. El proyecto usa una llamada TIME_SERIES_DAILY compact por análisis; revisa la cuota vigente.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Decide cómo compartir la llave de OpenAI sin exponerla: por un canal privado, con instrucción de guardarla solo en Secretos. Rótala al terminar el diplomado.</w:t>
      </w:r>
      <w:r>
        <w:t xml:space="preserve"/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La API de OpenAI no es gratuita. El servidor MCP remoto recibe la información necesaria para atender la consulta: indica a los alumnos que no envíen datos personales al bot y revisa las condiciones vigentes antes de usarlo.</w:t>
      </w:r>
      <w:r>
        <w:t xml:space="preserve"/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Guía @BotFather, chat_id y Alpha Vantage. Entrega la llave de OpenAI por canal privado.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r>
        <w:br w:type="page"/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{ "posicion_rango_100_sesiones_pct":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"tendencia_medias": "🟢 cierre sobre SMA 20 y SMA 50",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"rsi_14": 55.0, "volatilidad_20d_anual_pct": 24.0,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 xml:space="preserve">  "volumen_relativo_20d": 1.11,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Cierre: 150.0 USD (1.2 % frente a la sesión previa)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Tendencia: 🟢 cierre sobre SMA 20 y SMA 50 · RSI 55.0</w:t>
      </w:r>
    </w:p>
    <w:p>
      <w:pPr>
        <w:shd w:fill="102A43" w:color="auto" w:val="clear"/>
        <w:spacing w:after="0" w:before="0"/>
        <w:ind w:left="200" w:right="200"/>
      </w:pPr>
      <w:r>
        <w:rPr>
          <w:rFonts w:ascii="Times New Roman" w:hAnsi="Times New Roman"/>
          <w:color w:val="FFFFFF"/>
          <w:sz w:val="18"/>
        </w:rPr>
        <w:t>Riesgo: 🟡 volatilidad histórica moderada · volumen relativo 1.11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Times New Roman" w:hAnsi="Times New Roman"/>
          <w:color w:val="FFFFFF"/>
          <w:sz w:val="18"/>
        </w:rPr>
        <w:t>Nota educativa, no es recomendación de inversión.</w:t>
      </w:r>
    </w:p>
    <w:p>
      <w:pPr>
        <w:spacing w:after="120"/>
      </w:pPr>
      <w:r>
        <w:rPr>
          <w:rFonts w:ascii="Times New Roman" w:hAnsi="Times New Roman"/>
          <w:sz w:val="21"/>
        </w:rPr>
        <w:t>Comprobación: (150 − 120) / (180 − 120) × 100 = 50.0 %; 1,000,000 / 900,000 = 1.11 de volumen relativo.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La ficha muestra la fuente “Alpha Vantage TIME_SERIES_DAILY compact vía MCP (datos gratuitos)”, la fecha y esa herramienta en “Herramientas MCP usadas”.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Las cifras coinciden con los indicadores. Recalcula a mano la posición en el rango observado y el volumen relativo; comprueba que el cierre no se presente como precio en tiempo real.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Times New Roman" w:hAnsi="Times New Roman"/>
              </w:rPr>
              <w:t>En comandos.py: dos llamadas a pipeline y una tercera llamada a Vera con ambos análisis. Gasta 2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</w:pPr>
      <w:r>
        <w:t xml:space="preserve">Política de uso de IA e integridad académica</w:t>
      </w:r>
    </w:p>
    <w:p>
      <w:pPr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r>
        <w:br w:type="page"/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El bot no responde a ese chat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t>Espera hasta 12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t>Por qué cada 8 minutos.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Pruebas automáticas. pruebas.yml corre 27 pruebas en simulación en cada subida, sin llaves. Es una forma de introducir la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Respaldo.</w:t>
      </w:r>
      <w:r>
        <w:t xml:space="preserve"> Si el MCP falla, Iris marca la ficha como DATOS DEMO y la cadena sigue; la clase nunca se detiene.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Versiones. El proyecto conecta Alpha Vantage mediante el MCP de la Responses API y limita al modelo a TIME_SERIES_DAILY. Revisa la compatibilidad del modelo, las cuotas y la documentación oficial antes de cada generación.</w:t>
      </w:r>
    </w:p>
    <w:p>
      <w:pPr>
        <w:pStyle w:val="Heading2"/>
      </w:pPr>
      <w:r>
        <w:rPr>
          <w:rFonts w:ascii="Times New Roman" w:hAnsi="Times New Roman"/>
          <w:sz w:val="21"/>
        </w:rPr>
        <w:t>Validado al actualizar el paquete (21/10/2026)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27 pruebas automáticas aprobadas en modo simulación, incluida la lectura determinista de TIME_SERIES_DAILY y la simulación de GitHub Actions.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El notebook de Colab se ejecutó completo en modo simulación con los nuevos indicadores gratuitos.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imes New Roman" w:hAnsi="Times New Roman"/>
          <w:sz w:val="21"/>
        </w:rPr>
        <w:t>Pendiente de registrar aquí el resultado de la corrida real final con TIME_SERIES_DAILY; el ensayo previo (sección 2, paso 3) sigue siendo indispensable para cada grupo.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OpenAI API Docs, MCP servers: </w:t>
      </w:r>
      <w:hyperlink w:history="1" r:id="rIdy51aobqv8dfp7k38dbxga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