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0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Calibri" w:cs="Calibri"/>
          <w:b/>
          <w:bCs/>
          <w:color w:val="595959"/>
          <w:spacing w:val="40"/>
          <w:sz w:val="20"/>
          <w:szCs w:val="20"/>
        </w:rPr>
        <w:t>POSTECH MLET — DATATHON, FASE 5</w:t>
      </w:r>
    </w:p>
    <w:p>
      <w:pPr>
        <w:pStyle w:val="Normal"/>
        <w:spacing w:before="0" w:after="120"/>
        <w:jc w:val="center"/>
        <w:rPr/>
      </w:pPr>
      <w:r>
        <w:rPr>
          <w:rFonts w:eastAsia="Calibri" w:cs="Calibri"/>
          <w:b/>
          <w:bCs/>
          <w:color w:val="1F4E79"/>
          <w:sz w:val="40"/>
          <w:szCs w:val="40"/>
        </w:rPr>
        <w:t>Plataforma de Experimentação Adaptativa para Decisão de Canal</w:t>
      </w:r>
    </w:p>
    <w:p>
      <w:pPr>
        <w:pStyle w:val="Normal"/>
        <w:spacing w:before="0" w:after="420"/>
        <w:jc w:val="center"/>
        <w:rPr/>
      </w:pPr>
      <w:r>
        <w:rPr>
          <w:rFonts w:eastAsia="Calibri" w:cs="Calibri"/>
          <w:color w:val="595959"/>
          <w:sz w:val="24"/>
          <w:szCs w:val="24"/>
        </w:rPr>
        <w:t>Multi-armed bandit aplicado a campanhas bancárias, com avaliação em duas camadas</w:t>
      </w:r>
    </w:p>
    <w:tbl>
      <w:tblPr>
        <w:tblW w:w="9070" w:type="dxa"/>
        <w:jc w:val="start"/>
        <w:tblInd w:w="0" w:type="dxa"/>
        <w:tblLayout w:type="fixed"/>
        <w:tblCellMar>
          <w:top w:w="46" w:type="dxa"/>
          <w:start w:w="105" w:type="dxa"/>
          <w:bottom w:w="46" w:type="dxa"/>
          <w:end w:w="105" w:type="dxa"/>
        </w:tblCellMar>
      </w:tblPr>
      <w:tblGrid>
        <w:gridCol w:w="2358"/>
        <w:gridCol w:w="6712"/>
      </w:tblGrid>
      <w:tr>
        <w:trPr/>
        <w:tc>
          <w:tcPr>
            <w:tcW w:w="2358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Turma</w:t>
            </w:r>
          </w:p>
        </w:tc>
        <w:tc>
          <w:tcPr>
            <w:tcW w:w="6712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8MLET — Grupo 30</w:t>
            </w:r>
          </w:p>
        </w:tc>
      </w:tr>
      <w:tr>
        <w:trPr/>
        <w:tc>
          <w:tcPr>
            <w:tcW w:w="2358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Repositório</w:t>
            </w:r>
          </w:p>
        </w:tc>
        <w:tc>
          <w:tcPr>
            <w:tcW w:w="671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github.com/marianaparise/datathon-8mlet-grupo-30</w:t>
            </w:r>
          </w:p>
        </w:tc>
      </w:tr>
      <w:tr>
        <w:trPr/>
        <w:tc>
          <w:tcPr>
            <w:tcW w:w="2358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Base de dados</w:t>
            </w:r>
          </w:p>
        </w:tc>
        <w:tc>
          <w:tcPr>
            <w:tcW w:w="671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bank-marketing (Kaggle / UCI 222) — CC BY 4.0</w:t>
            </w:r>
          </w:p>
        </w:tc>
      </w:tr>
      <w:tr>
        <w:trPr/>
        <w:tc>
          <w:tcPr>
            <w:tcW w:w="2358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Escopo entregue</w:t>
            </w:r>
          </w:p>
        </w:tc>
        <w:tc>
          <w:tcPr>
            <w:tcW w:w="671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Etapas 0 a 7 do enunciado</w:t>
            </w:r>
          </w:p>
        </w:tc>
      </w:tr>
      <w:tr>
        <w:trPr/>
        <w:tc>
          <w:tcPr>
            <w:tcW w:w="2358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Suíte de testes</w:t>
            </w:r>
          </w:p>
        </w:tc>
        <w:tc>
          <w:tcPr>
            <w:tcW w:w="6712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189 testes automatizados</w:t>
            </w:r>
          </w:p>
        </w:tc>
      </w:tr>
    </w:tbl>
    <w:p>
      <w:pPr>
        <w:pStyle w:val="Normal"/>
        <w:spacing w:lineRule="auto" w:line="250" w:before="240" w:after="10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595959"/>
          <w:sz w:val="20"/>
          <w:szCs w:val="20"/>
        </w:rPr>
        <w:t>Integrantes</w:t>
      </w:r>
    </w:p>
    <w:tbl>
      <w:tblPr>
        <w:tblW w:w="9070" w:type="dxa"/>
        <w:jc w:val="start"/>
        <w:tblInd w:w="0" w:type="dxa"/>
        <w:tblLayout w:type="fixed"/>
        <w:tblCellMar>
          <w:top w:w="46" w:type="dxa"/>
          <w:start w:w="105" w:type="dxa"/>
          <w:bottom w:w="46" w:type="dxa"/>
          <w:end w:w="105" w:type="dxa"/>
        </w:tblCellMar>
      </w:tblPr>
      <w:tblGrid>
        <w:gridCol w:w="4716"/>
        <w:gridCol w:w="4354"/>
      </w:tblGrid>
      <w:tr>
        <w:trPr/>
        <w:tc>
          <w:tcPr>
            <w:tcW w:w="4716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Nome</w:t>
            </w:r>
          </w:p>
        </w:tc>
        <w:tc>
          <w:tcPr>
            <w:tcW w:w="4354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E-mail</w:t>
            </w:r>
          </w:p>
        </w:tc>
      </w:tr>
      <w:tr>
        <w:trPr/>
        <w:tc>
          <w:tcPr>
            <w:tcW w:w="4716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Doglas Parise</w:t>
            </w:r>
          </w:p>
        </w:tc>
        <w:tc>
          <w:tcPr>
            <w:tcW w:w="4354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doglasparise@gmail.com</w:t>
            </w:r>
          </w:p>
        </w:tc>
      </w:tr>
      <w:tr>
        <w:trPr/>
        <w:tc>
          <w:tcPr>
            <w:tcW w:w="4716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Mariana Teixeira Dornelles Parise</w:t>
            </w:r>
          </w:p>
        </w:tc>
        <w:tc>
          <w:tcPr>
            <w:tcW w:w="4354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m.dornelles19@gmail.com</w:t>
            </w:r>
          </w:p>
        </w:tc>
      </w:tr>
      <w:tr>
        <w:trPr/>
        <w:tc>
          <w:tcPr>
            <w:tcW w:w="4716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Ricardo Gomes de Souza</w:t>
            </w:r>
          </w:p>
        </w:tc>
        <w:tc>
          <w:tcPr>
            <w:tcW w:w="4354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ricardo_g_souza@yahoo.com</w:t>
            </w:r>
          </w:p>
        </w:tc>
      </w:tr>
      <w:tr>
        <w:trPr/>
        <w:tc>
          <w:tcPr>
            <w:tcW w:w="4716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Silvio José Meirelles</w:t>
            </w:r>
          </w:p>
        </w:tc>
        <w:tc>
          <w:tcPr>
            <w:tcW w:w="4354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professorsilviomeireles@gmail.com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tbl>
      <w:tblPr>
        <w:tblW w:w="907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160" w:type="dxa"/>
        </w:tblCellMar>
      </w:tblPr>
      <w:tblGrid>
        <w:gridCol w:w="9070"/>
      </w:tblGrid>
      <w:tr>
        <w:trPr/>
        <w:tc>
          <w:tcPr>
            <w:tcW w:w="9070" w:type="dxa"/>
            <w:tcBorders>
              <w:start w:val="single" w:sz="18" w:space="0" w:color="E8A33D"/>
            </w:tcBorders>
            <w:shd w:color="auto" w:fill="EAF3EA" w:val="clear"/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 xml:space="preserve">Resultado principal.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As duas melhores políticas adaptativas convertem a 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>13,0%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contra 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>11,01%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da política de log — um ganho de 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>+18%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, sem sobreposição de intervalos de confiança e confirmado por dois métodos de avaliação independentes. Este relatório apresenta o resultado e, com o mesmo cuidado, a extensão em que ele deve ser relativizado.</w:t>
            </w:r>
          </w:p>
        </w:tc>
      </w:tr>
    </w:tbl>
    <w:p>
      <w:pPr>
        <w:pStyle w:val="Heading1"/>
        <w:pBdr>
          <w:bottom w:val="single" w:sz="6" w:space="6" w:color="BFBFBF"/>
        </w:pBdr>
        <w:spacing w:before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F4E79"/>
          <w:sz w:val="28"/>
          <w:szCs w:val="28"/>
        </w:rPr>
        <w:t>1. Introdução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A1A1A"/>
          <w:sz w:val="23"/>
          <w:szCs w:val="23"/>
        </w:rPr>
        <w:t>1.1 Contextualização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Campanhas de marketing bancário operam sob restrição dupla: o orçamento de contatos é finito e cada abordagem malsucedida acumula custo operacional e desgaste de relacionamento. Moro, Cortez e Rita (2014), analisando registros de uma instituição portuguesa de varejo coletados entre 2008 e 2013, demonstraram que atributos de perfil e de histórico de contato predizem com margem apreciável a adesão a depósitos a prazo. A base derivada daquele estudo tornou-se referência empírica recorrente na literatura de mineração de dados aplicada ao setor financeiro, e é sobre ela que este trabalho se constrói.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Aquele resultado, contudo, permanece no registro preditivo, e é precisamente aí que reside a lacuna que motiva esta investigação: </w:t>
      </w:r>
      <w:r>
        <w:rPr>
          <w:rFonts w:eastAsia="Calibri" w:cs="Calibri"/>
          <w:b/>
          <w:bCs/>
          <w:i w:val="false"/>
          <w:iCs w:val="false"/>
          <w:color w:val="1A1A1A"/>
          <w:sz w:val="21"/>
          <w:szCs w:val="21"/>
        </w:rPr>
        <w:t>estimar quem tende a converter não determina como a instituição deve agir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A política de ação — por qual canal abordar, em que momento da semana — segue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x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t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r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n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ao modelo preditivo, tipicamente fixada por regra de negócio ou por um teste A/B conduzido em separado. O instrumento canônico para essa segunda decisão é o experimento controlado, cuja prática industrial Kohavi, Tang e Xu (2020) sistematizam. Sua garantia estatística é forte, mas o regime de operação impõe um custo específico: durante toda a janela do experimento, uma fração fixa do tráfego recebe deliberadamente o tratamento que ao final será declarado inferior. Em campanhas cujo ciclo se mede em semanas, esse custo não é contábil — é conversão perdida.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A1A1A"/>
          <w:sz w:val="23"/>
          <w:szCs w:val="23"/>
        </w:rPr>
        <w:t>1.2 Referencial teórico: alocação sequencial sob incerteza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formalização desse custo remonta a Robbins (1952), que enunciou o problema do desenho sequencial de experimentos: como alocar observações entre alternativas de recompensa desconhecida de modo a maximizar o retorno acumulado, e não somente a acurácia da inferência terminal. A esse acúmulo de perdas em relação à melhor ação possível dá-se o nome de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arrependimento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regret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). Lai e Robbins (1985) estabeleceram o limite inferior do problema, mostrando que nenhuma política consistente cresce mais devagar que o logaritmo do horizonte — resultado que converteu a escolha de algoritmo numa questão de quão perto desse piso se chega.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As famílias de solução hoje consolidadas repartem-se em duas heurísticas. A amostragem por distribuição a posteriori foi antecipada por Thompson (1933) em contexto de ensaios clínicos, cinco décadas antes de haver teoria que a justificasse, e sua competitividade empírica só foi sistematicamente documentada por Chapelle e Li (2011). O otimismo diante da incerteza ganhou garantia em tempo finito com o algoritmo UCB1 de Auer, Cesa-Bianchi e Fischer (2002). Sutton e Barto (2018) situam o dilema entre explorar e explotar como o caso mais simples de aprendizado por reforço, e Lattimore e Szepesvári (2020) oferecem o tratamento formal de referência para o campo.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 extensão contextual — em que a escolha da ação passa a depender de atributos observáveis do indivíduo — foi popularizada por Li et al. (2010), que aplicaram o algoritmo LinUCB à recomendação de notícias em escala de produção, e recebeu garantia teórica para a variante bayesiana em Agrawal e Goyal (2013). É essa extensão que promete personalização de fato, e é sobre o seu custo-benefício que este trabalho produz uma de suas conclusões menos óbvias.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A1A1A"/>
          <w:sz w:val="23"/>
          <w:szCs w:val="23"/>
        </w:rPr>
        <w:t>1.3 O problema metodológico: avaliar o que não foi observado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Políticas adaptativas apresentam uma dificuldade de avaliação que não existe em classificação supervisionada. O log histórico registra a recompensa apenas do braço que foi efetivamente jogado; o que teria acontecido sob qualquer outra escolha é contrafactual e permanece não observado. Esse regime de rótulo parcial, conhecido como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bandit feedback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, impede que se meça uma política nova simplesmente reexecutando-a sobre o histórico.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 literatura de avaliação fora da política oferece duas rotas. Li et al. (2011) propuseram um estimador não enviesado por amostragem por rejeição, que reproduz a execução da política candidata sobre o log real descartando as rodadas em que ela discordaria do registro histórico. Dudík, Langford e Li (2011) combinaram esse caminho com a modelagem direta da recompensa no estimador duplamente robusto, consistente se qualquer um dos dois componentes estiver bem especificado. A primeira rota é de baixo viés e alta variância; a segunda, o inverso. O desenho metodológico adotado aqui — descrito na Seção 4 — usa deliberadamente as duas, e trata a concordância entre elas como evidência, não como redundância.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Há ainda uma condição de validade frequentemente omitida. Quando a avaliação se apoia num ambiente calibrado a partir dos dados, as probabilidades que ele emite precisam ser confiáveis em nível, e não apenas ordenar corretamente os casos. A aferição dessa propriedade remonta ao escore proposto por Brier (1950) para previsão meteorológica probabilística, e sua correção por regressão isotônica a Zadrozny e Elkan (2002). Um ambiente que discrimina bem mas erra o nível produziria um ganho aparente que não se realizaria em produção.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A1A1A"/>
          <w:sz w:val="23"/>
          <w:szCs w:val="23"/>
        </w:rPr>
        <w:t>1.4 Problema de pesquisa e hipóteses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 exposto decorre a questão que orienta este trabalho: </w:t>
      </w:r>
      <w:r>
        <w:rPr>
          <w:rFonts w:eastAsia="Calibri" w:cs="Calibri"/>
          <w:b/>
          <w:bCs/>
          <w:i w:val="false"/>
          <w:iCs w:val="false"/>
          <w:color w:val="1A1A1A"/>
          <w:sz w:val="21"/>
          <w:szCs w:val="21"/>
        </w:rPr>
        <w:t>é possível substituir a decisão fixa de canal e momento de contato por uma política adaptativa que a supere de forma mensurável, usando exclusivamente dados observacionais de campanha, sem recorrer a recompensa sintética e sem acesso a experimentação aleatorizada?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 pergunta desdobra-se em três hipóteses, todas testadas no corpo do relatório:</w:t>
      </w:r>
    </w:p>
    <w:p>
      <w:pPr>
        <w:pStyle w:val="Normal"/>
        <w:spacing w:lineRule="auto" w:line="250" w:before="0" w:after="100"/>
        <w:ind w:start="340"/>
        <w:jc w:val="both"/>
        <w:rPr/>
      </w:pPr>
      <w:r>
        <w:rPr>
          <w:rFonts w:eastAsia="Calibri" w:cs="Calibri"/>
          <w:b/>
          <w:bCs/>
          <w:i w:val="false"/>
          <w:iCs w:val="false"/>
          <w:color w:val="1A1A1A"/>
          <w:sz w:val="21"/>
          <w:szCs w:val="21"/>
        </w:rPr>
        <w:t>H1.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Uma política adaptativa multi-armed bandit supera a política de log histórica em taxa de conversão, com intervalos de confiança disjuntos entre sementes independentes.</w:t>
      </w:r>
    </w:p>
    <w:p>
      <w:pPr>
        <w:pStyle w:val="Normal"/>
        <w:spacing w:lineRule="auto" w:line="250" w:before="0" w:after="100"/>
        <w:ind w:start="340"/>
        <w:jc w:val="both"/>
        <w:rPr/>
      </w:pPr>
      <w:r>
        <w:rPr>
          <w:rFonts w:eastAsia="Calibri" w:cs="Calibri"/>
          <w:b/>
          <w:bCs/>
          <w:i w:val="false"/>
          <w:iCs w:val="false"/>
          <w:color w:val="1A1A1A"/>
          <w:sz w:val="21"/>
          <w:szCs w:val="21"/>
        </w:rPr>
        <w:t>H2.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 ganho adicional obtenível por personalização contextual é materialmente inferior ao ganho da adaptação não contextual, dado o volume de conversões disponível por braço.</w:t>
      </w:r>
    </w:p>
    <w:p>
      <w:pPr>
        <w:pStyle w:val="Normal"/>
        <w:spacing w:lineRule="auto" w:line="250" w:before="0" w:after="100"/>
        <w:ind w:start="340"/>
        <w:jc w:val="both"/>
        <w:rPr/>
      </w:pPr>
      <w:r>
        <w:rPr>
          <w:rFonts w:eastAsia="Calibri" w:cs="Calibri"/>
          <w:b/>
          <w:bCs/>
          <w:i w:val="false"/>
          <w:iCs w:val="false"/>
          <w:color w:val="1A1A1A"/>
          <w:sz w:val="21"/>
          <w:szCs w:val="21"/>
        </w:rPr>
        <w:t>H3.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 ganho estimado pelo ambiente calibrado é corroborado por avaliação independente por amostragem por rejeição sobre o log real, preservando o ordenamento das políticas.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Registre-se desde já que </w:t>
      </w:r>
      <w:r>
        <w:rPr>
          <w:rFonts w:eastAsia="Calibri" w:cs="Calibri"/>
          <w:b/>
          <w:bCs/>
          <w:i w:val="false"/>
          <w:iCs w:val="false"/>
          <w:color w:val="1A1A1A"/>
          <w:sz w:val="21"/>
          <w:szCs w:val="21"/>
        </w:rPr>
        <w:t>H2 é uma hipótese de resultado negativo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, formulada antes da implementação da política contextual e mantida no relatório após ser confirmada. Sua permanência é deliberada: um trabalho que só reporta o que funcionou informa menos do que um que delimita onde a técnica deixa de compensar.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A1A1A"/>
          <w:sz w:val="23"/>
          <w:szCs w:val="23"/>
        </w:rPr>
        <w:t>1.5 Objetivos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/>
          <w:bCs/>
          <w:i w:val="false"/>
          <w:iCs w:val="false"/>
          <w:color w:val="1A1A1A"/>
          <w:sz w:val="21"/>
          <w:szCs w:val="21"/>
        </w:rPr>
        <w:t>Objetivo geral.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Projetar, implementar e avaliar uma plataforma de experimentação adaptativa que decida o canal e a janela de contato para clientes de campanha bancária, com validação em duas camadas metodologicamente independentes.</w:t>
      </w:r>
    </w:p>
    <w:p>
      <w:pPr>
        <w:pStyle w:val="Normal"/>
        <w:spacing w:lineRule="auto" w:line="250" w:before="0" w:after="100"/>
        <w:ind w:start="340"/>
        <w:jc w:val="both"/>
        <w:rPr/>
      </w:pPr>
      <w:r>
        <w:rPr>
          <w:rFonts w:eastAsia="Calibri" w:cs="Calibri"/>
          <w:b/>
          <w:bCs/>
          <w:i w:val="false"/>
          <w:iCs w:val="false"/>
          <w:color w:val="1A1A1A"/>
          <w:sz w:val="21"/>
          <w:szCs w:val="21"/>
        </w:rPr>
        <w:t>a)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derivar um espaço de ação legítimo a partir de colunas de decisão efetivamente registradas no log, sem fabricar braços cuja recompensa não seja estimável de linha observada;</w:t>
      </w:r>
    </w:p>
    <w:p>
      <w:pPr>
        <w:pStyle w:val="Normal"/>
        <w:spacing w:lineRule="auto" w:line="250" w:before="0" w:after="100"/>
        <w:ind w:start="340"/>
        <w:jc w:val="both"/>
        <w:rPr/>
      </w:pPr>
      <w:r>
        <w:rPr>
          <w:rFonts w:eastAsia="Calibri" w:cs="Calibri"/>
          <w:b/>
          <w:bCs/>
          <w:i w:val="false"/>
          <w:iCs w:val="false"/>
          <w:color w:val="1A1A1A"/>
          <w:sz w:val="21"/>
          <w:szCs w:val="21"/>
        </w:rPr>
        <w:t>b)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construir e submeter a portões de qualidade explícitos um ambiente calibrado que sirva de simulador de recompensa, rejeitando-o se a calibração não se sustentar;</w:t>
      </w:r>
    </w:p>
    <w:p>
      <w:pPr>
        <w:pStyle w:val="Normal"/>
        <w:spacing w:lineRule="auto" w:line="250" w:before="0" w:after="100"/>
        <w:ind w:start="340"/>
        <w:jc w:val="both"/>
        <w:rPr/>
      </w:pPr>
      <w:r>
        <w:rPr>
          <w:rFonts w:eastAsia="Calibri" w:cs="Calibri"/>
          <w:b/>
          <w:bCs/>
          <w:i w:val="false"/>
          <w:iCs w:val="false"/>
          <w:color w:val="1A1A1A"/>
          <w:sz w:val="21"/>
          <w:szCs w:val="21"/>
        </w:rPr>
        <w:t>c)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implementar e comparar políticas contextuais e não contextuais sob múltiplas sementes, reportando média e intervalo de confiança;</w:t>
      </w:r>
    </w:p>
    <w:p>
      <w:pPr>
        <w:pStyle w:val="Normal"/>
        <w:spacing w:lineRule="auto" w:line="250" w:before="0" w:after="100"/>
        <w:ind w:start="340"/>
        <w:jc w:val="both"/>
        <w:rPr/>
      </w:pPr>
      <w:r>
        <w:rPr>
          <w:rFonts w:eastAsia="Calibri" w:cs="Calibri"/>
          <w:b/>
          <w:bCs/>
          <w:i w:val="false"/>
          <w:iCs w:val="false"/>
          <w:color w:val="1A1A1A"/>
          <w:sz w:val="21"/>
          <w:szCs w:val="21"/>
        </w:rPr>
        <w:t>d)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validar o ordenamento resultante por avaliação fora da política sobre o log real, independente do ambiente;</w:t>
      </w:r>
    </w:p>
    <w:p>
      <w:pPr>
        <w:pStyle w:val="Normal"/>
        <w:spacing w:lineRule="auto" w:line="250" w:before="0" w:after="100"/>
        <w:ind w:start="340"/>
        <w:jc w:val="both"/>
        <w:rPr/>
      </w:pPr>
      <w:r>
        <w:rPr>
          <w:rFonts w:eastAsia="Calibri" w:cs="Calibri"/>
          <w:b/>
          <w:bCs/>
          <w:i w:val="false"/>
          <w:iCs w:val="false"/>
          <w:color w:val="1A1A1A"/>
          <w:sz w:val="21"/>
          <w:szCs w:val="21"/>
        </w:rPr>
        <w:t>e)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expor a política em serviço demonstrável e rastrear todos os experimentos, garantindo reprodutibilidade.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A1A1A"/>
          <w:sz w:val="23"/>
          <w:szCs w:val="23"/>
        </w:rPr>
        <w:t>1.6 Contribuições e delimitação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contribuição central não é algorítmica — os algoritmos empregados são os da literatura citada — mas </w:t>
      </w:r>
      <w:r>
        <w:rPr>
          <w:rFonts w:eastAsia="Calibri" w:cs="Calibri"/>
          <w:b/>
          <w:bCs/>
          <w:i w:val="false"/>
          <w:iCs w:val="false"/>
          <w:color w:val="1A1A1A"/>
          <w:sz w:val="21"/>
          <w:szCs w:val="21"/>
        </w:rPr>
        <w:t>metodológica e de engenharia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: a demonstração de que uma base observacional de campanha, sem aleatorização e sem braços explícitos, admite formulação legítima como problema de bandit desde que o espaço de ação seja extraído de colunas de decisão reais e que toda recompensa seja estimada de linha observada. Como subprodutos, o trabalho quantifica o teto do ganho contextual antes de investir na política correspondente, e mede o confundimento temporal que infla o efeito de canal aparente — limitação analisada na Seção 9 e que, tanto quanto pudemos verificar, costuma passar sem menção em aplicações desta base.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Delimita-se o escopo: o sistema decide canal e janela de contato, não decide se o cliente é elegível, qual produto ofertar ou qual preço praticar. A coluna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duration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é excluída de toda etapa por constituir vazamento temporal, conforme vedação expressa do enunciado. Não se utilizam dados reais de cliente, identificadores, patrimônio, renda, gênero ou raça.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A1A1A"/>
          <w:sz w:val="23"/>
          <w:szCs w:val="23"/>
        </w:rPr>
        <w:t>1.7 Organização do relatório</w:t>
      </w:r>
    </w:p>
    <w:p>
      <w:pPr>
        <w:pStyle w:val="Normal"/>
        <w:spacing w:lineRule="auto" w:line="250" w:before="0" w:after="10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 Seção 2 caracteriza o problema de negócio e o espaço de decisão. A Seção 3 descreve a base, a formulação dos braços e as restrições de uso. A Seção 4 apresenta o método de avaliação em duas camadas e os portões de qualidade do ambiente. A Seção 5 reporta os resultados quantitativos e a análise de exploração. A Seção 6 traz a validação independente por replay. A Seção 7 documenta os casos de teste do Golden Set. A Seção 8 cobre a engenharia do serviço, o rastreio de experimentos e a arquitetura-alvo em nuvem. A Seção 9 discute as limitações, com destaque para o confundimento temporal. A Seção 10 trata da governança de dados e a Seção 11 conclui.</w:t>
      </w:r>
    </w:p>
    <w:p>
      <w:pPr>
        <w:pStyle w:val="Heading1"/>
        <w:pBdr>
          <w:bottom w:val="single" w:sz="6" w:space="6" w:color="BFBFBF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4E79"/>
          <w:sz w:val="28"/>
          <w:szCs w:val="28"/>
        </w:rPr>
        <w:t>2. O problema de negócio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Uma instituição financeira digital precisa decidir, para cada cliente elegível, por qual canal e em que momento abordá-lo. Hoje essa decisão costuma ser tomada de dois modos, e os dois desperdiçam tráfego.</w:t>
      </w:r>
    </w:p>
    <w:p>
      <w:pPr>
        <w:pStyle w:val="Normal"/>
        <w:spacing w:lineRule="auto" w:line="250" w:before="0" w:after="12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Regra fixa. </w:t>
      </w:r>
      <w:r>
        <w:rPr>
          <w:rFonts w:eastAsia="Calibri" w:cs="Calibri"/>
          <w:color w:val="1A1A1A"/>
          <w:sz w:val="21"/>
          <w:szCs w:val="21"/>
        </w:rPr>
        <w:t>Congela a decisão numa política única — “ligue no celular, começo de semana”. Não reage a mudança de contexto, não personaliza, e só é revista quando alguém decide revê-la.</w:t>
      </w:r>
    </w:p>
    <w:p>
      <w:pPr>
        <w:pStyle w:val="Normal"/>
        <w:spacing w:lineRule="auto" w:line="250" w:before="0" w:after="12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Teste A/B longo. </w:t>
      </w:r>
      <w:r>
        <w:rPr>
          <w:rFonts w:eastAsia="Calibri" w:cs="Calibri"/>
          <w:color w:val="1A1A1A"/>
          <w:sz w:val="21"/>
          <w:szCs w:val="21"/>
        </w:rPr>
        <w:t>Divide o tráfego meio a meio por semanas e só decide no fim. Durante todo o experimento, metade dos clientes recebe deliberadamente a abordagem pior.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 alternativa é uma abordagem adaptativa — multi-armed bandit — que realoca tráfego em tempo real conforme a evidência chega, equilibrando exploração do que ainda é incerto com explotação do que já se sabe funcionar.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color w:val="1A1A1A"/>
          <w:sz w:val="23"/>
          <w:szCs w:val="23"/>
        </w:rPr>
        <w:t>O que este sistema decide, e o que não decide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O espaço de decisão é deliberadamente estreito: seis combinações de canal e janela. O sistema não decide elegibilidade, não recusa produto, não precifica e não gera texto. O dano possível de uma recomendação errada é uma ligação em horário ruim — contenção de escopo por escolha de projeto, não por limitação técnica.</w:t>
      </w:r>
    </w:p>
    <w:p>
      <w:pPr>
        <w:pStyle w:val="Heading1"/>
        <w:pBdr>
          <w:bottom w:val="single" w:sz="6" w:space="6" w:color="BFBFBF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4E79"/>
          <w:sz w:val="28"/>
          <w:szCs w:val="28"/>
        </w:rPr>
        <w:t>3. A base e a formulação do problema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Usamos a base bank-marketing (Kaggle, henriqueyamahata), equivalente ao bank-additional-full.csv do UCI Machine Learning Repository: 41.188 registros de campanhas de telemarketing de um banco português, com alvo binário indicando assinatura de depósito a prazo. Taxa de conversão global de 11,27%. Licença CC BY 4.0.</w:t>
      </w:r>
    </w:p>
    <w:p>
      <w:pPr>
        <w:pStyle w:val="Normal"/>
        <w:spacing w:lineRule="auto" w:line="250" w:before="0" w:after="12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A coluna duration foi descartada. </w:t>
      </w:r>
      <w:r>
        <w:rPr>
          <w:rFonts w:eastAsia="Calibri" w:cs="Calibri"/>
          <w:color w:val="1A1A1A"/>
          <w:sz w:val="21"/>
          <w:szCs w:val="21"/>
        </w:rPr>
        <w:t>Ela registra a duração da ligação, conhecida apenas após o desfecho. O enunciado a proíbe nominalmente, e a análise mostra por quê: um modelo treinado apenas com duration alcança AUC 0,819 — acima das 19 features legítimas juntas, que somam 0,816.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color w:val="1A1A1A"/>
          <w:sz w:val="23"/>
          <w:szCs w:val="23"/>
        </w:rPr>
        <w:t>O obstáculo central: a base não tem braços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Um bandit precisa escolher entre múltiplas ações. Este log registra uma só: “ligamos e oferecemos depósito a prazo”. Cada linha é um par (cliente, converteu?). E como só se observa o resultado da ação efetivamente tomada, o que teria acontecido sob outra ação — o contrafactual — não está no dado. Não por falha de coleta, mas por impossibilidade lógica.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 saída veio de uma observação sobre o dataset: nem toda coluna descreve o cliente. Algumas registram decisões que a própria campanha tomou.</w:t>
      </w:r>
    </w:p>
    <w:tbl>
      <w:tblPr>
        <w:tblW w:w="9070" w:type="dxa"/>
        <w:jc w:val="start"/>
        <w:tblInd w:w="0" w:type="dxa"/>
        <w:tblLayout w:type="fixed"/>
        <w:tblCellMar>
          <w:top w:w="46" w:type="dxa"/>
          <w:start w:w="105" w:type="dxa"/>
          <w:bottom w:w="46" w:type="dxa"/>
          <w:end w:w="105" w:type="dxa"/>
        </w:tblCellMar>
      </w:tblPr>
      <w:tblGrid>
        <w:gridCol w:w="2721"/>
        <w:gridCol w:w="6349"/>
      </w:tblGrid>
      <w:tr>
        <w:trPr/>
        <w:tc>
          <w:tcPr>
            <w:tcW w:w="2721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Papel</w:t>
            </w:r>
          </w:p>
        </w:tc>
        <w:tc>
          <w:tcPr>
            <w:tcW w:w="6349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Colunas</w:t>
            </w:r>
          </w:p>
        </w:tc>
      </w:tr>
      <w:tr>
        <w:trPr/>
        <w:tc>
          <w:tcPr>
            <w:tcW w:w="272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Contexto — quem é o cliente</w:t>
            </w:r>
          </w:p>
        </w:tc>
        <w:tc>
          <w:tcPr>
            <w:tcW w:w="6349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age, job, marital, education, default, housing, loan, campaign, pdays, previous, poutcome</w:t>
            </w:r>
          </w:p>
        </w:tc>
      </w:tr>
      <w:tr>
        <w:trPr/>
        <w:tc>
          <w:tcPr>
            <w:tcW w:w="272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Ação — o que o banco escolheu</w:t>
            </w:r>
          </w:p>
        </w:tc>
        <w:tc>
          <w:tcPr>
            <w:tcW w:w="6349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contact (celular / telefone fixo), month, day_of_week</w:t>
            </w:r>
          </w:p>
        </w:tc>
      </w:tr>
      <w:tr>
        <w:trPr/>
        <w:tc>
          <w:tcPr>
            <w:tcW w:w="272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Alvo</w:t>
            </w:r>
          </w:p>
        </w:tc>
        <w:tc>
          <w:tcPr>
            <w:tcW w:w="6349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y — assinou depósito a prazo</w:t>
            </w:r>
          </w:p>
        </w:tc>
      </w:tr>
      <w:tr>
        <w:trPr/>
        <w:tc>
          <w:tcPr>
            <w:tcW w:w="2721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Proibida</w:t>
            </w:r>
          </w:p>
        </w:tc>
        <w:tc>
          <w:tcPr>
            <w:tcW w:w="6349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duration</w:t>
            </w:r>
          </w:p>
        </w:tc>
      </w:tr>
    </w:tbl>
    <w:p>
      <w:pPr>
        <w:pStyle w:val="Normal"/>
        <w:spacing w:lineRule="auto" w:line="250" w:before="0" w:after="14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Os braços saem das colunas de ação, e isso tem consequência decisiva: todo braço aparece no log histórico, logo P(conversão | contexto, braço) é estimável de dado observado para qualquer braço — sem sintetizar recompensa. O enunciado pede decidir “qual oferta, mensagem ou próximo passo”; canal e momento são exatamente isso.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color w:val="1A1A1A"/>
          <w:sz w:val="23"/>
          <w:szCs w:val="23"/>
        </w:rPr>
        <w:t>Os seis braços, fixados por suporte amostral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O critério foi registrado antes da análise: o pior braço precisa de pelo menos 1.000 eventos e 100 conversões. day_of_week entra agregado em três janelas — early (segunda), mid (terça a quinta) e late (sexta) — porque a conversão por dia mostra exatamente essa estrutura. month fica fora do braço: cruzá-lo geraria 100 células e ele é o principal confundidor temporal.</w:t>
      </w:r>
    </w:p>
    <w:tbl>
      <w:tblPr>
        <w:tblW w:w="9070" w:type="dxa"/>
        <w:jc w:val="start"/>
        <w:tblInd w:w="0" w:type="dxa"/>
        <w:tblLayout w:type="fixed"/>
        <w:tblCellMar>
          <w:top w:w="46" w:type="dxa"/>
          <w:start w:w="105" w:type="dxa"/>
          <w:bottom w:w="46" w:type="dxa"/>
          <w:end w:w="105" w:type="dxa"/>
        </w:tblCellMar>
      </w:tblPr>
      <w:tblGrid>
        <w:gridCol w:w="2176"/>
        <w:gridCol w:w="1361"/>
        <w:gridCol w:w="1542"/>
        <w:gridCol w:w="1451"/>
        <w:gridCol w:w="2540"/>
      </w:tblGrid>
      <w:tr>
        <w:trPr/>
        <w:tc>
          <w:tcPr>
            <w:tcW w:w="2176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Braço</w:t>
            </w:r>
          </w:p>
        </w:tc>
        <w:tc>
          <w:tcPr>
            <w:tcW w:w="1361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Eventos</w:t>
            </w:r>
          </w:p>
        </w:tc>
        <w:tc>
          <w:tcPr>
            <w:tcW w:w="1542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Conversões</w:t>
            </w:r>
          </w:p>
        </w:tc>
        <w:tc>
          <w:tcPr>
            <w:tcW w:w="1451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Conversão</w:t>
            </w:r>
          </w:p>
        </w:tc>
        <w:tc>
          <w:tcPr>
            <w:tcW w:w="2540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IC 95% (Wilson)</w:t>
            </w:r>
          </w:p>
        </w:tc>
      </w:tr>
      <w:tr>
        <w:trPr/>
        <w:tc>
          <w:tcPr>
            <w:tcW w:w="2176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cellular | mid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15.964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2.469</w:t>
            </w:r>
          </w:p>
        </w:tc>
        <w:tc>
          <w:tcPr>
            <w:tcW w:w="145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15,47%</w:t>
            </w:r>
          </w:p>
        </w:tc>
        <w:tc>
          <w:tcPr>
            <w:tcW w:w="2540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[14,91%; 16,04%]</w:t>
            </w:r>
          </w:p>
        </w:tc>
      </w:tr>
      <w:tr>
        <w:trPr/>
        <w:tc>
          <w:tcPr>
            <w:tcW w:w="2176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cellular | late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4.645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676</w:t>
            </w:r>
          </w:p>
        </w:tc>
        <w:tc>
          <w:tcPr>
            <w:tcW w:w="145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14,55%</w:t>
            </w:r>
          </w:p>
        </w:tc>
        <w:tc>
          <w:tcPr>
            <w:tcW w:w="2540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[13,57%; 15,60%]</w:t>
            </w:r>
          </w:p>
        </w:tc>
      </w:tr>
      <w:tr>
        <w:trPr/>
        <w:tc>
          <w:tcPr>
            <w:tcW w:w="2176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cellular | early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5.535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708</w:t>
            </w:r>
          </w:p>
        </w:tc>
        <w:tc>
          <w:tcPr>
            <w:tcW w:w="145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12,79%</w:t>
            </w:r>
          </w:p>
        </w:tc>
        <w:tc>
          <w:tcPr>
            <w:tcW w:w="2540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[11,94%; 13,70%]</w:t>
            </w:r>
          </w:p>
        </w:tc>
      </w:tr>
      <w:tr>
        <w:trPr/>
        <w:tc>
          <w:tcPr>
            <w:tcW w:w="2176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telephone | mid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8.883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478</w:t>
            </w:r>
          </w:p>
        </w:tc>
        <w:tc>
          <w:tcPr>
            <w:tcW w:w="145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5,38%</w:t>
            </w:r>
          </w:p>
        </w:tc>
        <w:tc>
          <w:tcPr>
            <w:tcW w:w="2540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[4,93%; 5,87%]</w:t>
            </w:r>
          </w:p>
        </w:tc>
      </w:tr>
      <w:tr>
        <w:trPr/>
        <w:tc>
          <w:tcPr>
            <w:tcW w:w="2176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telephone | late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3.182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170</w:t>
            </w:r>
          </w:p>
        </w:tc>
        <w:tc>
          <w:tcPr>
            <w:tcW w:w="145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5,34%</w:t>
            </w:r>
          </w:p>
        </w:tc>
        <w:tc>
          <w:tcPr>
            <w:tcW w:w="2540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[4,61%; 6,18%]</w:t>
            </w:r>
          </w:p>
        </w:tc>
      </w:tr>
      <w:tr>
        <w:trPr/>
        <w:tc>
          <w:tcPr>
            <w:tcW w:w="2176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telephone | early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2.979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139</w:t>
            </w:r>
          </w:p>
        </w:tc>
        <w:tc>
          <w:tcPr>
            <w:tcW w:w="1451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4,67%</w:t>
            </w:r>
          </w:p>
        </w:tc>
        <w:tc>
          <w:tcPr>
            <w:tcW w:w="2540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[3,97%; 5,48%]</w:t>
            </w:r>
          </w:p>
        </w:tc>
      </w:tr>
    </w:tbl>
    <w:p>
      <w:pPr>
        <w:pStyle w:val="Heading1"/>
        <w:pBdr>
          <w:bottom w:val="single" w:sz="6" w:space="6" w:color="BFBFBF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4E79"/>
          <w:sz w:val="28"/>
          <w:szCs w:val="28"/>
        </w:rPr>
        <w:t>4. Método: avaliação em duas camadas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Avaliar uma política que nunca foi ao ar, usando apenas o log de outra, é um problema com nome: off-policy evaluation. Existem duas famílias de estimadores, com fraquezas opostas, e usamos as duas.</w:t>
      </w:r>
    </w:p>
    <w:tbl>
      <w:tblPr>
        <w:tblW w:w="9070" w:type="dxa"/>
        <w:jc w:val="start"/>
        <w:tblInd w:w="0" w:type="dxa"/>
        <w:tblLayout w:type="fixed"/>
        <w:tblCellMar>
          <w:top w:w="46" w:type="dxa"/>
          <w:start w:w="105" w:type="dxa"/>
          <w:bottom w:w="46" w:type="dxa"/>
          <w:end w:w="105" w:type="dxa"/>
        </w:tblCellMar>
      </w:tblPr>
      <w:tblGrid>
        <w:gridCol w:w="1451"/>
        <w:gridCol w:w="2721"/>
        <w:gridCol w:w="2449"/>
        <w:gridCol w:w="2449"/>
      </w:tblGrid>
      <w:tr>
        <w:trPr/>
        <w:tc>
          <w:tcPr>
            <w:tcW w:w="1451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Track</w:t>
            </w:r>
          </w:p>
        </w:tc>
        <w:tc>
          <w:tcPr>
            <w:tcW w:w="2721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Método</w:t>
            </w:r>
          </w:p>
        </w:tc>
        <w:tc>
          <w:tcPr>
            <w:tcW w:w="2449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Força</w:t>
            </w:r>
          </w:p>
        </w:tc>
        <w:tc>
          <w:tcPr>
            <w:tcW w:w="2449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Fraqueza</w:t>
            </w:r>
          </w:p>
        </w:tc>
      </w:tr>
      <w:tr>
        <w:trPr/>
        <w:tc>
          <w:tcPr>
            <w:tcW w:w="145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A — principal</w:t>
            </w:r>
          </w:p>
        </w:tc>
        <w:tc>
          <w:tcPr>
            <w:tcW w:w="272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Ambiente calibrado (Direct Method): modelo estima a recompensa de cada braço</w:t>
            </w:r>
          </w:p>
        </w:tc>
        <w:tc>
          <w:tcPr>
            <w:tcW w:w="2449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Baixa variância; permite medir regret contra oráculo</w:t>
            </w:r>
          </w:p>
        </w:tc>
        <w:tc>
          <w:tcPr>
            <w:tcW w:w="2449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Herda o viés do modelo de recompensa</w:t>
            </w:r>
          </w:p>
        </w:tc>
      </w:tr>
      <w:tr>
        <w:trPr/>
        <w:tc>
          <w:tcPr>
            <w:tcW w:w="1451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C — validação</w:t>
            </w:r>
          </w:p>
        </w:tc>
        <w:tc>
          <w:tcPr>
            <w:tcW w:w="2721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Replay por rejection sampling (Li et al., WSDM 2011)</w:t>
            </w:r>
          </w:p>
        </w:tc>
        <w:tc>
          <w:tcPr>
            <w:tcW w:w="2449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Usa apenas recompensa observada; nenhum modelo no caminho</w:t>
            </w:r>
          </w:p>
        </w:tc>
        <w:tc>
          <w:tcPr>
            <w:tcW w:w="2449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Descarta 61% a 83% do log; alta variância</w:t>
            </w:r>
          </w:p>
        </w:tc>
      </w:tr>
    </w:tbl>
    <w:p>
      <w:pPr>
        <w:pStyle w:val="Normal"/>
        <w:spacing w:lineRule="auto" w:line="250" w:before="0" w:after="16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Como as fraquezas são complementares, concordância entre os dois é evidência forte; divergência é achado, não ruído a esconder.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color w:val="1A1A1A"/>
          <w:sz w:val="23"/>
          <w:szCs w:val="23"/>
        </w:rPr>
        <w:t>Os três portões de qualidade do ambiente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O ambiente do track A só é liberado após três verificações. Falhando qualquer uma, o pipeline levanta exceção em vez de prosseguir.</w:t>
      </w:r>
    </w:p>
    <w:p>
      <w:pPr>
        <w:pStyle w:val="ListParagraph"/>
        <w:numPr>
          <w:ilvl w:val="0"/>
          <w:numId w:val="3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Calibração, global e por braço.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Brier 0,0860 com skill de 0,141 sobre a taxa-base; desvio máximo entre previsto e observado de 0,96 p.p. no pior braço. A verificação é por braço porque um total bom esconde braço de baixo volume mal calibrado.</w:t>
      </w:r>
    </w:p>
    <w:p>
      <w:pPr>
        <w:pStyle w:val="ListParagraph"/>
        <w:numPr>
          <w:ilvl w:val="0"/>
          <w:numId w:val="1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Sanity check.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AUC 0,7413 contra 0,7274 de uma regressão logística. Ganho pequeno, mas real.</w:t>
      </w:r>
    </w:p>
    <w:p>
      <w:pPr>
        <w:pStyle w:val="ListParagraph"/>
        <w:numPr>
          <w:ilvl w:val="0"/>
          <w:numId w:val="1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Sobreposição (positividade).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Um modelo P(braço | contexto) verifica se todo braço tem suporte na região do contexto. Para cerca de 96% dos clientes há interpolação legítima; nos 4% restantes, os braços de telefone fixo são extrapolação — e isso está declarado.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color w:val="1A1A1A"/>
          <w:sz w:val="23"/>
          <w:szCs w:val="23"/>
        </w:rPr>
        <w:t>O teto do ganho contextual, medido antes das políticas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Antes de implementar qualquer política, medimos quanto a personalização poderia render: comparamos o melhor braço fixo com um oráculo que escolhe o braço ideal cliente a cliente.</w:t>
      </w:r>
    </w:p>
    <w:tbl>
      <w:tblPr>
        <w:tblW w:w="9070" w:type="dxa"/>
        <w:jc w:val="start"/>
        <w:tblInd w:w="0" w:type="dxa"/>
        <w:tblLayout w:type="fixed"/>
        <w:tblCellMar>
          <w:top w:w="46" w:type="dxa"/>
          <w:start w:w="105" w:type="dxa"/>
          <w:bottom w:w="46" w:type="dxa"/>
          <w:end w:w="105" w:type="dxa"/>
        </w:tblCellMar>
      </w:tblPr>
      <w:tblGrid>
        <w:gridCol w:w="5623"/>
        <w:gridCol w:w="3447"/>
      </w:tblGrid>
      <w:tr>
        <w:trPr/>
        <w:tc>
          <w:tcPr>
            <w:tcW w:w="5623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Melhor braço fixo (cellular | mid)</w:t>
            </w:r>
          </w:p>
        </w:tc>
        <w:tc>
          <w:tcPr>
            <w:tcW w:w="3447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13,37%</w:t>
            </w:r>
          </w:p>
        </w:tc>
      </w:tr>
      <w:tr>
        <w:trPr/>
        <w:tc>
          <w:tcPr>
            <w:tcW w:w="562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Oráculo contextual</w:t>
            </w:r>
          </w:p>
        </w:tc>
        <w:tc>
          <w:tcPr>
            <w:tcW w:w="3447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13,97%</w:t>
            </w:r>
          </w:p>
        </w:tc>
      </w:tr>
      <w:tr>
        <w:trPr/>
        <w:tc>
          <w:tcPr>
            <w:tcW w:w="562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Ganho máximo teórico</w:t>
            </w:r>
          </w:p>
        </w:tc>
        <w:tc>
          <w:tcPr>
            <w:tcW w:w="3447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+0,59 p.p.  (+4,44%)</w:t>
            </w:r>
          </w:p>
        </w:tc>
      </w:tr>
      <w:tr>
        <w:trPr/>
        <w:tc>
          <w:tcPr>
            <w:tcW w:w="5623" w:type="dxa"/>
            <w:tcBorders>
              <w:top w:val="single" w:sz="2" w:space="0" w:color="D9D9D9"/>
              <w:bottom w:val="single" w:sz="4" w:space="0" w:color="BFBFBF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Clientes cujo braço ótimo difere do global</w:t>
            </w:r>
          </w:p>
        </w:tc>
        <w:tc>
          <w:tcPr>
            <w:tcW w:w="3447" w:type="dxa"/>
            <w:tcBorders>
              <w:top w:val="single" w:sz="2" w:space="0" w:color="D9D9D9"/>
              <w:bottom w:val="single" w:sz="4" w:space="0" w:color="BFBFBF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47,43%</w:t>
            </w:r>
          </w:p>
        </w:tc>
      </w:tr>
    </w:tbl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Quase metade dos clientes tem outro braço ótimo, mas o ganho total é de meio ponto percentual: as trocas ocorrem quase todas entre braços de probabilidade praticamente igual. Esse número determina o que qualquer política contextual pode disputar, e volta na leitura dos resultados.</w:t>
      </w:r>
    </w:p>
    <w:p>
      <w:pPr>
        <w:pStyle w:val="Heading1"/>
        <w:pBdr>
          <w:bottom w:val="single" w:sz="6" w:space="6" w:color="BFBFBF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4E79"/>
          <w:sz w:val="28"/>
          <w:szCs w:val="28"/>
        </w:rPr>
        <w:t>5. Resultados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Oito políticas, 20.000 rodadas por episódio, 10 seeds cada, com intervalo de confiança de 95% calculado entre seeds. O baseline é a política de log: a mistura de braços que a campanha de fato executou.</w:t>
      </w:r>
    </w:p>
    <w:tbl>
      <w:tblPr>
        <w:tblW w:w="9070" w:type="dxa"/>
        <w:jc w:val="start"/>
        <w:tblInd w:w="0" w:type="dxa"/>
        <w:tblLayout w:type="fixed"/>
        <w:tblCellMar>
          <w:top w:w="46" w:type="dxa"/>
          <w:start w:w="105" w:type="dxa"/>
          <w:bottom w:w="46" w:type="dxa"/>
          <w:end w:w="105" w:type="dxa"/>
        </w:tblCellMar>
      </w:tblPr>
      <w:tblGrid>
        <w:gridCol w:w="3083"/>
        <w:gridCol w:w="1179"/>
        <w:gridCol w:w="1905"/>
        <w:gridCol w:w="1361"/>
        <w:gridCol w:w="1542"/>
      </w:tblGrid>
      <w:tr>
        <w:trPr/>
        <w:tc>
          <w:tcPr>
            <w:tcW w:w="3083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Política</w:t>
            </w:r>
          </w:p>
        </w:tc>
        <w:tc>
          <w:tcPr>
            <w:tcW w:w="1179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CVR</w:t>
            </w:r>
          </w:p>
        </w:tc>
        <w:tc>
          <w:tcPr>
            <w:tcW w:w="1905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IC 95%</w:t>
            </w:r>
          </w:p>
        </w:tc>
        <w:tc>
          <w:tcPr>
            <w:tcW w:w="1361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Uplift</w:t>
            </w:r>
          </w:p>
        </w:tc>
        <w:tc>
          <w:tcPr>
            <w:tcW w:w="1542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Exploração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FixedArm [cellular | mid]</w:t>
            </w:r>
          </w:p>
        </w:tc>
        <w:tc>
          <w:tcPr>
            <w:tcW w:w="1179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13,31%</w:t>
            </w:r>
          </w:p>
        </w:tc>
        <w:tc>
          <w:tcPr>
            <w:tcW w:w="1905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[13,14; 13,47]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+20,85%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0,0%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GradientBandit [α = 0,5]</w:t>
            </w:r>
          </w:p>
        </w:tc>
        <w:tc>
          <w:tcPr>
            <w:tcW w:w="1179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13,03%</w:t>
            </w:r>
          </w:p>
        </w:tc>
        <w:tc>
          <w:tcPr>
            <w:tcW w:w="1905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[12,60; 13,45]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+18,31%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3,6%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ThompsonSampling [1.13, 8.87]</w:t>
            </w:r>
          </w:p>
        </w:tc>
        <w:tc>
          <w:tcPr>
            <w:tcW w:w="1179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13,01%</w:t>
            </w:r>
          </w:p>
        </w:tc>
        <w:tc>
          <w:tcPr>
            <w:tcW w:w="1905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[12,84; 13,18]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+18,16%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23,0%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EpsilonGreedy [ε = 0,05]</w:t>
            </w:r>
          </w:p>
        </w:tc>
        <w:tc>
          <w:tcPr>
            <w:tcW w:w="1179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12,88%</w:t>
            </w:r>
          </w:p>
        </w:tc>
        <w:tc>
          <w:tcPr>
            <w:tcW w:w="1905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[12,55; 13,20]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+16,95%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16,1%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ThompsonSampling [1, 1]</w:t>
            </w:r>
          </w:p>
        </w:tc>
        <w:tc>
          <w:tcPr>
            <w:tcW w:w="1179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12,81%</w:t>
            </w:r>
          </w:p>
        </w:tc>
        <w:tc>
          <w:tcPr>
            <w:tcW w:w="1905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[12,56; 13,06]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+16,36%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38,0%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UCB1 [c = 0,25]</w:t>
            </w:r>
          </w:p>
        </w:tc>
        <w:tc>
          <w:tcPr>
            <w:tcW w:w="1179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12,70%</w:t>
            </w:r>
          </w:p>
        </w:tc>
        <w:tc>
          <w:tcPr>
            <w:tcW w:w="1905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[12,50; 12,91]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+15,38%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41,7%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LinTS [v = 0,05]</w:t>
            </w:r>
          </w:p>
        </w:tc>
        <w:tc>
          <w:tcPr>
            <w:tcW w:w="1179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12,41%</w:t>
            </w:r>
          </w:p>
        </w:tc>
        <w:tc>
          <w:tcPr>
            <w:tcW w:w="1905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[12,24; 12,58]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+12,69%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59,5%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LoggingPolicy (baseline)</w:t>
            </w:r>
          </w:p>
        </w:tc>
        <w:tc>
          <w:tcPr>
            <w:tcW w:w="1179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11,01%</w:t>
            </w:r>
          </w:p>
        </w:tc>
        <w:tc>
          <w:tcPr>
            <w:tcW w:w="1905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[10,83; 11,19]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61,3%</w:t>
            </w:r>
          </w:p>
        </w:tc>
      </w:tr>
    </w:tbl>
    <w:p>
      <w:pPr>
        <w:pStyle w:val="Normal"/>
        <w:spacing w:lineRule="auto" w:line="250" w:before="120" w:after="12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>Todas as políticas adaptativas superam o baseline</w:t>
      </w:r>
      <w:r>
        <w:rPr>
          <w:rFonts w:eastAsia="Calibri" w:cs="Calibri"/>
          <w:color w:val="1A1A1A"/>
          <w:sz w:val="21"/>
          <w:szCs w:val="21"/>
        </w:rPr>
        <w:t>, com intervalos que não se sobrepõem ao dele. O requisito central da Etapa 3 está cumprido e medido.</w:t>
      </w:r>
    </w:p>
    <w:p>
      <w:pPr>
        <w:pStyle w:val="Normal"/>
        <w:spacing w:before="140" w:after="60"/>
        <w:jc w:val="center"/>
        <w:rPr/>
      </w:pPr>
      <w:r>
        <w:rPr/>
        <w:drawing>
          <wp:inline distT="0" distB="0" distL="0" distR="0">
            <wp:extent cx="3667125" cy="2038350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rFonts w:eastAsia="Calibri" w:cs="Calibri"/>
          <w:i/>
          <w:iCs/>
          <w:color w:val="595959"/>
          <w:sz w:val="18"/>
          <w:szCs w:val="18"/>
        </w:rPr>
        <w:t>Figura 1 — Conversão acumulada ao longo de 20.000 rodadas, média de 10 seeds.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color w:val="1A1A1A"/>
          <w:sz w:val="23"/>
          <w:szCs w:val="23"/>
        </w:rPr>
        <w:t>Quatro leituras que os números impõem</w:t>
      </w:r>
    </w:p>
    <w:p>
      <w:pPr>
        <w:spacing w:after="100" w:before="0" w:line="25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 gradiente de política empata com a Thompson.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 GradientBandit é o gradient bandit de Sutton e Barto (2018, cap. 2) — o REINFORCE com horizonte 1, sem transição de estado, e portanto o aprendizado por reforço que este problema admite. Ele marca 13,03% contra 13,01%: dois centésimos de ponto, com intervalos que se sobrepõem quase inteiramente. Não é vitória, é empate — e o intervalo dele é duas vezes e meia mais largo, 0,85 p.p. contra 0,34 p.p. Com exploração de apenas 3,6% ele se compromete cedo, e chega perto do braço fixo por imitá-lo, não por aprender melhor.</w:t>
      </w:r>
    </w:p>
    <w:p>
      <w:pPr>
        <w:pStyle w:val="Normal"/>
        <w:spacing w:lineRule="auto" w:line="250" w:before="0" w:after="12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O prior informado vence o uniforme. </w:t>
      </w:r>
      <w:r>
        <w:rPr>
          <w:rFonts w:eastAsia="Calibri" w:cs="Calibri"/>
          <w:color w:val="1A1A1A"/>
          <w:sz w:val="21"/>
          <w:szCs w:val="21"/>
        </w:rPr>
        <w:t>Beta(1,13, 8,87) codifica a taxa-base de 11,27% com a força de dez observações, e rende 13,01% contra 12,81% do Beta(1, 1). O motivo aparece na coluna de exploração — 23,0% contra 38,0%: partir de uma crença calibrada poupa exatamente as rodadas que o prior uniforme gasta descobrindo que nenhum braço converte a 50%.</w:t>
      </w:r>
    </w:p>
    <w:p>
      <w:pPr>
        <w:pStyle w:val="Normal"/>
        <w:spacing w:lineRule="auto" w:line="250" w:before="0" w:after="12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O braço fixo vence todas as adaptativas, e isso era esperado. </w:t>
      </w:r>
      <w:r>
        <w:rPr>
          <w:rFonts w:eastAsia="Calibri" w:cs="Calibri"/>
          <w:color w:val="1A1A1A"/>
          <w:sz w:val="21"/>
          <w:szCs w:val="21"/>
        </w:rPr>
        <w:t>O ambiente é estacionário e tem um braço dominante, então cravar nele é a jogada ótima por construção. As adaptativas pagam exploração para descobrir esse braço; a política fixa já começa sabendo — mas só sabe porque a análise do log inteiro foi feita antes. Ela é o teto de um oráculo estacionário, não uma alternativa disponível no dia zero.</w:t>
      </w:r>
    </w:p>
    <w:p>
      <w:pPr>
        <w:pStyle w:val="Normal"/>
        <w:spacing w:lineRule="auto" w:line="250" w:before="0" w:after="12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A política contextual não se paga. </w:t>
      </w:r>
      <w:r>
        <w:rPr>
          <w:rFonts w:eastAsia="Calibri" w:cs="Calibri"/>
          <w:color w:val="1A1A1A"/>
          <w:sz w:val="21"/>
          <w:szCs w:val="21"/>
        </w:rPr>
        <w:t>A LinTS fica em 12,41%, abaixo da Thompson não-contextual, com 59,5% de exploração ainda ao fim do horizonte. A explicação está no teto medido na seção 4: há apenas +4,44% de ganho contextual disponível, e capturá-lo exige estimar 41 features × 6 braços = 246 parâmetros a partir de recompensa binária que ocorre uma vez a cada nove. O custo de exploração excede o prêmio.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Isso não é defeito de implementação: um teste automatizado roda a mesma LinTS num ambiente onde o braço ótimo depende do cliente, e lá ela supera a Thompson comum. A máquina detecta heterogeneidade quando ela existe — nestes dados, o efeito do braço é quase todo não-contextual.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color w:val="1A1A1A"/>
          <w:sz w:val="23"/>
          <w:szCs w:val="23"/>
        </w:rPr>
        <w:t>Análise de exploração × conversão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Cada política foi calibrada por varredura de hiperparâmetro sobre o ambiente. O UCB1 mostra o comportamento mais instrutivo:</w:t>
      </w:r>
    </w:p>
    <w:tbl>
      <w:tblPr>
        <w:tblW w:w="9070" w:type="dxa"/>
        <w:jc w:val="start"/>
        <w:tblInd w:w="0" w:type="dxa"/>
        <w:tblLayout w:type="fixed"/>
        <w:tblCellMar>
          <w:top w:w="46" w:type="dxa"/>
          <w:start w:w="105" w:type="dxa"/>
          <w:bottom w:w="46" w:type="dxa"/>
          <w:end w:w="105" w:type="dxa"/>
        </w:tblCellMar>
      </w:tblPr>
      <w:tblGrid>
        <w:gridCol w:w="1995"/>
        <w:gridCol w:w="1360"/>
        <w:gridCol w:w="1362"/>
        <w:gridCol w:w="1450"/>
        <w:gridCol w:w="1451"/>
        <w:gridCol w:w="1452"/>
      </w:tblGrid>
      <w:tr>
        <w:trPr/>
        <w:tc>
          <w:tcPr>
            <w:tcW w:w="1995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UCB1 — c</w:t>
            </w:r>
          </w:p>
        </w:tc>
        <w:tc>
          <w:tcPr>
            <w:tcW w:w="1360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0,05</w:t>
            </w:r>
          </w:p>
        </w:tc>
        <w:tc>
          <w:tcPr>
            <w:tcW w:w="1362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0,10</w:t>
            </w:r>
          </w:p>
        </w:tc>
        <w:tc>
          <w:tcPr>
            <w:tcW w:w="1450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0,25</w:t>
            </w:r>
          </w:p>
        </w:tc>
        <w:tc>
          <w:tcPr>
            <w:tcW w:w="1451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0,50</w:t>
            </w:r>
          </w:p>
        </w:tc>
        <w:tc>
          <w:tcPr>
            <w:tcW w:w="1452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1,00</w:t>
            </w:r>
          </w:p>
        </w:tc>
      </w:tr>
      <w:tr>
        <w:trPr/>
        <w:tc>
          <w:tcPr>
            <w:tcW w:w="1995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Conversão</w:t>
            </w:r>
          </w:p>
        </w:tc>
        <w:tc>
          <w:tcPr>
            <w:tcW w:w="1360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11,00%</w:t>
            </w:r>
          </w:p>
        </w:tc>
        <w:tc>
          <w:tcPr>
            <w:tcW w:w="136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12,42%</w:t>
            </w:r>
          </w:p>
        </w:tc>
        <w:tc>
          <w:tcPr>
            <w:tcW w:w="1450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12,74%</w:t>
            </w:r>
          </w:p>
        </w:tc>
        <w:tc>
          <w:tcPr>
            <w:tcW w:w="145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12,18%</w:t>
            </w:r>
          </w:p>
        </w:tc>
        <w:tc>
          <w:tcPr>
            <w:tcW w:w="145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11,58%</w:t>
            </w:r>
          </w:p>
        </w:tc>
      </w:tr>
      <w:tr>
        <w:trPr/>
        <w:tc>
          <w:tcPr>
            <w:tcW w:w="1995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Exploração</w:t>
            </w:r>
          </w:p>
        </w:tc>
        <w:tc>
          <w:tcPr>
            <w:tcW w:w="1360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18,4%</w:t>
            </w:r>
          </w:p>
        </w:tc>
        <w:tc>
          <w:tcPr>
            <w:tcW w:w="1362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10,8%</w:t>
            </w:r>
          </w:p>
        </w:tc>
        <w:tc>
          <w:tcPr>
            <w:tcW w:w="1450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43,0%</w:t>
            </w:r>
          </w:p>
        </w:tc>
        <w:tc>
          <w:tcPr>
            <w:tcW w:w="1451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51,6%</w:t>
            </w:r>
          </w:p>
        </w:tc>
        <w:tc>
          <w:tcPr>
            <w:tcW w:w="1452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68,2%</w:t>
            </w:r>
          </w:p>
        </w:tc>
      </w:tr>
    </w:tbl>
    <w:p>
      <w:pPr>
        <w:pStyle w:val="Normal"/>
        <w:spacing w:lineRule="auto" w:line="250" w:before="120" w:after="12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O c = 1,0 do livro-texto é o pior valor testado. </w:t>
      </w:r>
      <w:r>
        <w:rPr>
          <w:rFonts w:eastAsia="Calibri" w:cs="Calibri"/>
          <w:color w:val="1A1A1A"/>
          <w:sz w:val="21"/>
          <w:szCs w:val="21"/>
        </w:rPr>
        <w:t>O bônus √(2·ln t / n) foi desenhado para recompensa em toda a faixa [0, 1], mas aqui as médias vivem entre 5% e 15%: o bônus domina o sinal e a política nunca se decide. Com c = 0,05 acontece o oposto — explora de menos, trava cedo e fica em 11,00%.</w:t>
      </w:r>
    </w:p>
    <w:p>
      <w:pPr>
        <w:pStyle w:val="Heading1"/>
        <w:pBdr>
          <w:bottom w:val="single" w:sz="6" w:space="6" w:color="BFBFBF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4E79"/>
          <w:sz w:val="28"/>
          <w:szCs w:val="28"/>
        </w:rPr>
        <w:t>6. Validação independente: replay sobre o log real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Tudo na seção 5 vem do ambiente calibrado, que é um modelo. A crítica — “vocês testaram a política contra a própria estimativa” — é justa, e o track C existe para respondê-la com evidência. O método percorre o log real e só contabiliza o evento quando a política escolhe exatamente o braço que foi jogado; a recompensa é o desfecho observado, nunca estimado.</w:t>
      </w:r>
    </w:p>
    <w:tbl>
      <w:tblPr>
        <w:tblW w:w="9070" w:type="dxa"/>
        <w:jc w:val="start"/>
        <w:tblInd w:w="0" w:type="dxa"/>
        <w:tblLayout w:type="fixed"/>
        <w:tblCellMar>
          <w:top w:w="46" w:type="dxa"/>
          <w:start w:w="105" w:type="dxa"/>
          <w:bottom w:w="46" w:type="dxa"/>
          <w:end w:w="105" w:type="dxa"/>
        </w:tblCellMar>
      </w:tblPr>
      <w:tblGrid>
        <w:gridCol w:w="3083"/>
        <w:gridCol w:w="1542"/>
        <w:gridCol w:w="1723"/>
        <w:gridCol w:w="1361"/>
        <w:gridCol w:w="1361"/>
      </w:tblGrid>
      <w:tr>
        <w:trPr/>
        <w:tc>
          <w:tcPr>
            <w:tcW w:w="3083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Política</w:t>
            </w:r>
          </w:p>
        </w:tc>
        <w:tc>
          <w:tcPr>
            <w:tcW w:w="1542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Ambiente</w:t>
            </w:r>
          </w:p>
        </w:tc>
        <w:tc>
          <w:tcPr>
            <w:tcW w:w="1723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Replay (IPS)</w:t>
            </w:r>
          </w:p>
        </w:tc>
        <w:tc>
          <w:tcPr>
            <w:tcW w:w="1361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Posição A</w:t>
            </w:r>
          </w:p>
        </w:tc>
        <w:tc>
          <w:tcPr>
            <w:tcW w:w="1361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Posição C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FixedArm [cellular | mid]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13,31%</w:t>
            </w:r>
          </w:p>
        </w:tc>
        <w:tc>
          <w:tcPr>
            <w:tcW w:w="172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14,00%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GradientBandit [α = 0,5]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13,03%</w:t>
            </w:r>
          </w:p>
        </w:tc>
        <w:tc>
          <w:tcPr>
            <w:tcW w:w="172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13,07%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ThompsonSampling [1.13, 8.87]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13,01%</w:t>
            </w:r>
          </w:p>
        </w:tc>
        <w:tc>
          <w:tcPr>
            <w:tcW w:w="172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12,37%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3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EpsilonGreedy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12,88%</w:t>
            </w:r>
          </w:p>
        </w:tc>
        <w:tc>
          <w:tcPr>
            <w:tcW w:w="172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13,50%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2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ThompsonSampling [1, 1]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12,81%</w:t>
            </w:r>
          </w:p>
        </w:tc>
        <w:tc>
          <w:tcPr>
            <w:tcW w:w="172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12,55%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UCB1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12,70%</w:t>
            </w:r>
          </w:p>
        </w:tc>
        <w:tc>
          <w:tcPr>
            <w:tcW w:w="172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12,07%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6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6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LinTS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12,41%</w:t>
            </w:r>
          </w:p>
        </w:tc>
        <w:tc>
          <w:tcPr>
            <w:tcW w:w="172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11,27%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8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7</w:t>
            </w:r>
          </w:p>
        </w:tc>
      </w:tr>
      <w:tr>
        <w:trPr/>
        <w:tc>
          <w:tcPr>
            <w:tcW w:w="3083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LoggingPolicy (baseline)</w:t>
            </w:r>
          </w:p>
        </w:tc>
        <w:tc>
          <w:tcPr>
            <w:tcW w:w="1542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11,01%</w:t>
            </w:r>
          </w:p>
        </w:tc>
        <w:tc>
          <w:tcPr>
            <w:tcW w:w="1723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11,48%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8</w:t>
            </w:r>
          </w:p>
        </w:tc>
        <w:tc>
          <w:tcPr>
            <w:tcW w:w="1361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7</w:t>
            </w:r>
          </w:p>
        </w:tc>
      </w:tr>
    </w:tbl>
    <w:p>
      <w:pPr>
        <w:pStyle w:val="Normal"/>
        <w:spacing w:lineRule="auto" w:line="250" w:before="120" w:after="12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Correlação de Spearman entre os rankings: 0,857. </w:t>
      </w:r>
      <w:r>
        <w:rPr>
          <w:rFonts w:eastAsia="Calibri" w:cs="Calibri"/>
          <w:color w:val="1A1A1A"/>
          <w:sz w:val="21"/>
          <w:szCs w:val="21"/>
        </w:rPr>
        <w:t>Os dois métodos ordenam as políticas de forma quase idêntica, apesar de um simular 20.000 decisões contra um modelo e o outro peneirar 8.238 linhas de log real. O ambiente calibrado não está fabricando o ranking.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color w:val="1A1A1A"/>
          <w:sz w:val="23"/>
          <w:szCs w:val="23"/>
        </w:rPr>
        <w:t>A triangulação que fecha o argumento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O caso mais instrutivo é o da política de braço fixo, porque três estimativas independentes convergem:</w:t>
      </w:r>
    </w:p>
    <w:tbl>
      <w:tblPr>
        <w:tblW w:w="9070" w:type="dxa"/>
        <w:jc w:val="start"/>
        <w:tblInd w:w="0" w:type="dxa"/>
        <w:tblLayout w:type="fixed"/>
        <w:tblCellMar>
          <w:top w:w="46" w:type="dxa"/>
          <w:start w:w="105" w:type="dxa"/>
          <w:bottom w:w="46" w:type="dxa"/>
          <w:end w:w="105" w:type="dxa"/>
        </w:tblCellMar>
      </w:tblPr>
      <w:tblGrid>
        <w:gridCol w:w="6349"/>
        <w:gridCol w:w="2721"/>
      </w:tblGrid>
      <w:tr>
        <w:trPr/>
        <w:tc>
          <w:tcPr>
            <w:tcW w:w="6349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Replay cru (apenas os eventos cellular | mid do log)</w:t>
            </w:r>
          </w:p>
        </w:tc>
        <w:tc>
          <w:tcPr>
            <w:tcW w:w="2721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15,47%</w:t>
            </w:r>
          </w:p>
        </w:tc>
      </w:tr>
      <w:tr>
        <w:trPr/>
        <w:tc>
          <w:tcPr>
            <w:tcW w:w="6349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Replay corrigido por propensão inversa (IPS)</w:t>
            </w:r>
          </w:p>
        </w:tc>
        <w:tc>
          <w:tcPr>
            <w:tcW w:w="272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14,00%</w:t>
            </w:r>
          </w:p>
        </w:tc>
      </w:tr>
      <w:tr>
        <w:trPr/>
        <w:tc>
          <w:tcPr>
            <w:tcW w:w="6349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Ambiente calibrado</w:t>
            </w:r>
          </w:p>
        </w:tc>
        <w:tc>
          <w:tcPr>
            <w:tcW w:w="2721" w:type="dxa"/>
            <w:tcBorders>
              <w:top w:val="single" w:sz="2" w:space="0" w:color="D9D9D9"/>
              <w:bottom w:val="single" w:sz="4" w:space="0" w:color="BFBFBF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13,31%</w:t>
            </w:r>
          </w:p>
        </w:tc>
      </w:tr>
    </w:tbl>
    <w:p>
      <w:pPr>
        <w:pStyle w:val="Normal"/>
        <w:spacing w:lineRule="auto" w:line="250" w:before="0" w:after="14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O replay cru é otimista por seleção: quem recebeu cellular | mid não era recorte aleatório, pois a operação escolhia quem contatar. A ponderação por propensão inversa corrige boa parte disso e move a estimativa três quartos do caminho até o número do ambiente, que corrige o resto por modelagem. Dois métodos sem premissa comum chegando ao mesmo lugar é a evidência mais forte deste trabalho.</w:t>
      </w:r>
    </w:p>
    <w:p>
      <w:pPr>
        <w:pStyle w:val="Normal"/>
        <w:spacing w:lineRule="auto" w:line="250" w:before="0" w:after="12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Onde os tracks discordam. </w:t>
      </w:r>
      <w:r>
        <w:rPr>
          <w:rFonts w:eastAsia="Calibri" w:cs="Calibri"/>
          <w:color w:val="1A1A1A"/>
          <w:sz w:val="21"/>
          <w:szCs w:val="21"/>
        </w:rPr>
        <w:t>A vantagem do prior informado não se replica: 2º lugar no ambiente, 4º no replay. O que reproduz nos dois é a diferença de exploração — o prior acelera a convergência, mas o efeito sobre a conversão final está dentro do ruído. E a LinTS cai para último no replay, abaixo do baseline: é a segunda evidência independente, por caminho que não passa por modelo algum, de que a política contextual não entrega nestes dados.</w:t>
      </w:r>
    </w:p>
    <w:p>
      <w:pPr>
        <w:pStyle w:val="Heading1"/>
        <w:pBdr>
          <w:bottom w:val="single" w:sz="6" w:space="6" w:color="BFBFBF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4E79"/>
          <w:sz w:val="28"/>
          <w:szCs w:val="28"/>
        </w:rPr>
        <w:t>7. Casos de teste: o Golden Set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Cinco clientes do conjunto de teste, escolhidos por critério e não sorteados — cinco clientes médios receberiam a mesma resposta e a tabela nada provaria. As probabilidades são do modelo de recompensa calibrado.</w:t>
      </w:r>
    </w:p>
    <w:tbl>
      <w:tblPr>
        <w:tblW w:w="9070" w:type="dxa"/>
        <w:jc w:val="start"/>
        <w:tblInd w:w="0" w:type="dxa"/>
        <w:tblLayout w:type="fixed"/>
        <w:tblCellMar>
          <w:top w:w="46" w:type="dxa"/>
          <w:start w:w="105" w:type="dxa"/>
          <w:bottom w:w="46" w:type="dxa"/>
          <w:end w:w="105" w:type="dxa"/>
        </w:tblCellMar>
      </w:tblPr>
      <w:tblGrid>
        <w:gridCol w:w="1496"/>
        <w:gridCol w:w="1497"/>
        <w:gridCol w:w="792"/>
        <w:gridCol w:w="793"/>
        <w:gridCol w:w="793"/>
        <w:gridCol w:w="792"/>
        <w:gridCol w:w="793"/>
        <w:gridCol w:w="793"/>
        <w:gridCol w:w="1321"/>
      </w:tblGrid>
      <w:tr>
        <w:trPr/>
        <w:tc>
          <w:tcPr>
            <w:tcW w:w="1496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Critério</w:t>
            </w:r>
          </w:p>
        </w:tc>
        <w:tc>
          <w:tcPr>
            <w:tcW w:w="1497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Perfil</w:t>
            </w:r>
          </w:p>
        </w:tc>
        <w:tc>
          <w:tcPr>
            <w:tcW w:w="792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cel|early</w:t>
            </w:r>
          </w:p>
        </w:tc>
        <w:tc>
          <w:tcPr>
            <w:tcW w:w="793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cel|late</w:t>
            </w:r>
          </w:p>
        </w:tc>
        <w:tc>
          <w:tcPr>
            <w:tcW w:w="793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cel|mid</w:t>
            </w:r>
          </w:p>
        </w:tc>
        <w:tc>
          <w:tcPr>
            <w:tcW w:w="792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tel|early</w:t>
            </w:r>
          </w:p>
        </w:tc>
        <w:tc>
          <w:tcPr>
            <w:tcW w:w="793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tel|late</w:t>
            </w:r>
          </w:p>
        </w:tc>
        <w:tc>
          <w:tcPr>
            <w:tcW w:w="793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tel|mid</w:t>
            </w:r>
          </w:p>
        </w:tc>
        <w:tc>
          <w:tcPr>
            <w:tcW w:w="1321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Recomendado</w:t>
            </w:r>
          </w:p>
        </w:tc>
      </w:tr>
      <w:tr>
        <w:trPr/>
        <w:tc>
          <w:tcPr>
            <w:tcW w:w="1496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Sem histórico</w:t>
            </w:r>
          </w:p>
        </w:tc>
        <w:tc>
          <w:tcPr>
            <w:tcW w:w="1497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32a, empresário</w:t>
            </w:r>
          </w:p>
        </w:tc>
        <w:tc>
          <w:tcPr>
            <w:tcW w:w="79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8,98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8,83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10,82</w:t>
            </w:r>
          </w:p>
        </w:tc>
        <w:tc>
          <w:tcPr>
            <w:tcW w:w="79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4,05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5,72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4,87</w:t>
            </w:r>
          </w:p>
        </w:tc>
        <w:tc>
          <w:tcPr>
            <w:tcW w:w="132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cellular|mid</w:t>
            </w:r>
          </w:p>
        </w:tc>
      </w:tr>
      <w:tr>
        <w:trPr/>
        <w:tc>
          <w:tcPr>
            <w:tcW w:w="1496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Converteu antes</w:t>
            </w:r>
          </w:p>
        </w:tc>
        <w:tc>
          <w:tcPr>
            <w:tcW w:w="1497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23a, admin.</w:t>
            </w:r>
          </w:p>
        </w:tc>
        <w:tc>
          <w:tcPr>
            <w:tcW w:w="79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51,43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71,11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71,11</w:t>
            </w:r>
          </w:p>
        </w:tc>
        <w:tc>
          <w:tcPr>
            <w:tcW w:w="79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71,11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71,11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71,11</w:t>
            </w:r>
          </w:p>
        </w:tc>
        <w:tc>
          <w:tcPr>
            <w:tcW w:w="132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empate</w:t>
            </w:r>
          </w:p>
        </w:tc>
      </w:tr>
      <w:tr>
        <w:trPr/>
        <w:tc>
          <w:tcPr>
            <w:tcW w:w="1496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Muitos contatos</w:t>
            </w:r>
          </w:p>
        </w:tc>
        <w:tc>
          <w:tcPr>
            <w:tcW w:w="1497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49a, técnico</w:t>
            </w:r>
          </w:p>
        </w:tc>
        <w:tc>
          <w:tcPr>
            <w:tcW w:w="79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7,51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7,36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6,44</w:t>
            </w:r>
          </w:p>
        </w:tc>
        <w:tc>
          <w:tcPr>
            <w:tcW w:w="79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7,50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5,39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4,05</w:t>
            </w:r>
          </w:p>
        </w:tc>
        <w:tc>
          <w:tcPr>
            <w:tcW w:w="1321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empate no topo</w:t>
            </w:r>
          </w:p>
        </w:tc>
      </w:tr>
      <w:tr>
        <w:trPr/>
        <w:tc>
          <w:tcPr>
            <w:tcW w:w="1496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Perfil mediano</w:t>
            </w:r>
          </w:p>
        </w:tc>
        <w:tc>
          <w:tcPr>
            <w:tcW w:w="1497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31a, doméstica</w:t>
            </w:r>
          </w:p>
        </w:tc>
        <w:tc>
          <w:tcPr>
            <w:tcW w:w="79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10,89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9,66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11,29</w:t>
            </w:r>
          </w:p>
        </w:tc>
        <w:tc>
          <w:tcPr>
            <w:tcW w:w="79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4,33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5,71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6,17</w:t>
            </w:r>
          </w:p>
        </w:tc>
        <w:tc>
          <w:tcPr>
            <w:tcW w:w="1321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cellular|mid</w:t>
            </w:r>
          </w:p>
        </w:tc>
      </w:tr>
      <w:tr>
        <w:trPr/>
        <w:tc>
          <w:tcPr>
            <w:tcW w:w="1496" w:type="dxa"/>
            <w:tcBorders>
              <w:top w:val="single" w:sz="2" w:space="0" w:color="D9D9D9"/>
              <w:bottom w:val="single" w:sz="4" w:space="0" w:color="BFBFBF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Troca de braço</w:t>
            </w:r>
          </w:p>
        </w:tc>
        <w:tc>
          <w:tcPr>
            <w:tcW w:w="1497" w:type="dxa"/>
            <w:tcBorders>
              <w:top w:val="single" w:sz="2" w:space="0" w:color="D9D9D9"/>
              <w:bottom w:val="single" w:sz="4" w:space="0" w:color="BFBFBF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18a, estudante</w:t>
            </w:r>
          </w:p>
        </w:tc>
        <w:tc>
          <w:tcPr>
            <w:tcW w:w="792" w:type="dxa"/>
            <w:tcBorders>
              <w:top w:val="single" w:sz="2" w:space="0" w:color="D9D9D9"/>
              <w:bottom w:val="single" w:sz="4" w:space="0" w:color="BFBFBF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45,44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4" w:space="0" w:color="BFBFBF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50,87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4" w:space="0" w:color="BFBFBF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44,85</w:t>
            </w:r>
          </w:p>
        </w:tc>
        <w:tc>
          <w:tcPr>
            <w:tcW w:w="792" w:type="dxa"/>
            <w:tcBorders>
              <w:top w:val="single" w:sz="2" w:space="0" w:color="D9D9D9"/>
              <w:bottom w:val="single" w:sz="4" w:space="0" w:color="BFBFBF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22,00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4" w:space="0" w:color="BFBFBF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33,48</w:t>
            </w:r>
          </w:p>
        </w:tc>
        <w:tc>
          <w:tcPr>
            <w:tcW w:w="793" w:type="dxa"/>
            <w:tcBorders>
              <w:top w:val="single" w:sz="2" w:space="0" w:color="D9D9D9"/>
              <w:bottom w:val="single" w:sz="4" w:space="0" w:color="BFBFBF"/>
            </w:tcBorders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12,82</w:t>
            </w:r>
          </w:p>
        </w:tc>
        <w:tc>
          <w:tcPr>
            <w:tcW w:w="1321" w:type="dxa"/>
            <w:tcBorders>
              <w:top w:val="single" w:sz="2" w:space="0" w:color="D9D9D9"/>
              <w:bottom w:val="single" w:sz="4" w:space="0" w:color="BFBFBF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cellular|late</w:t>
            </w:r>
          </w:p>
        </w:tc>
      </w:tr>
    </w:tbl>
    <w:p>
      <w:pPr>
        <w:pStyle w:val="Normal"/>
        <w:spacing w:lineRule="auto" w:line="250" w:before="14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 decisão fez sentido em todos os cinco, e três deles rendem observações que vão além do acerto:</w:t>
      </w:r>
    </w:p>
    <w:p>
      <w:pPr>
        <w:pStyle w:val="ListParagraph"/>
        <w:numPr>
          <w:ilvl w:val="0"/>
          <w:numId w:val="1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Empate honesto.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Para o cliente que já converteu, cinco braços empatam em 71,11%. Não é coincidência: a calibração isotônica é uma função em degraus, e clientes de alta propensão caem no mesmo patamar. O sistema sinaliza o empate em vez de fingir preferência — a decisão correta ali é escolher pelo custo do canal.</w:t>
      </w:r>
    </w:p>
    <w:p>
      <w:pPr>
        <w:pStyle w:val="ListParagraph"/>
        <w:numPr>
          <w:ilvl w:val="0"/>
          <w:numId w:val="1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Recomendação por exclusão.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No cliente com seis contatos prévios, os dois primeiros braços empatam entre si mas superam cellular | mid em 1,07 p.p. A orientação útil é o que não fazer: sair do braço que é melhor na média. Note que telephone | early aparece no topo — para quem já cansou de ligações no celular, o canal alternativo deixa de ser inferior.</w:t>
      </w:r>
    </w:p>
    <w:p>
      <w:pPr>
        <w:pStyle w:val="ListParagraph"/>
        <w:numPr>
          <w:ilvl w:val="0"/>
          <w:numId w:val="1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Personalização que vale.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No estudante de 18 anos, cellular | late rende 50,87% contra 44,85% de cellular | mid: a troca vale 6,01 p.p., e entre o melhor e o pior braço há 38 p.p.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Três dos cinco casos são empates — e isso é precisamente o teto contextual de +4,44% manifestando-se cliente a cliente: na maioria dos perfis os braços do topo são indistinguíveis; numa minoria, a escolha vale dezenas de pontos percentuais.</w:t>
      </w:r>
    </w:p>
    <w:p>
      <w:pPr>
        <w:pStyle w:val="Heading1"/>
        <w:pBdr>
          <w:bottom w:val="single" w:sz="6" w:space="6" w:color="BFBFBF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4E79"/>
          <w:sz w:val="28"/>
          <w:szCs w:val="28"/>
        </w:rPr>
        <w:t>8. Engenharia: serviço, rastreio e arquitetura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color w:val="1A1A1A"/>
          <w:sz w:val="23"/>
          <w:szCs w:val="23"/>
        </w:rPr>
        <w:t>Serviço demonstrável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 API em FastAPI carrega o ambiente serializado e pontua os seis braços para o cliente que chega na requisição. Devolve o ranking completo — não apenas o vencedor — mais um sinalizador de empate, porque nesta base os braços do topo empatam com frequência e entregar só o vencedor venderia precisão inexistente.</w:t>
      </w:r>
    </w:p>
    <w:p>
      <w:pPr>
        <w:pStyle w:val="ListParagraph"/>
        <w:numPr>
          <w:ilvl w:val="0"/>
          <w:numId w:val="1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Validação na porta.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Categóricas são tipadas como literais: um nível desconhecido é recusado com HTTP 422 nomeando os valores válidos, em vez de chegar ao encoder e virar silenciosamente um vetor de zeros — que produziria recomendação plausível a partir de dado inválido.</w:t>
      </w:r>
    </w:p>
    <w:p>
      <w:pPr>
        <w:pStyle w:val="ListParagraph"/>
        <w:numPr>
          <w:ilvl w:val="0"/>
          <w:numId w:val="1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Coluna proibida fora do contrato.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duration não aparece nem na requisição, verificado por teste sobre a especificação OpenAPI. O parâmetro explore aplica ε-greedy e marca a resposta quando a escolha veio de exploração.</w:t>
      </w:r>
    </w:p>
    <w:p>
      <w:pPr>
        <w:pStyle w:val="ListParagraph"/>
        <w:numPr>
          <w:ilvl w:val="0"/>
          <w:numId w:val="1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Imagem enxuta.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508 MB, multi-stage, usuário sem privilégios, com healthcheck. Instala 9 pacotes contra os 17 do desenvolvimento — MLflow, matplotlib e ferramentas de teste não entram num container que apenas pontua clientes.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color w:val="1A1A1A"/>
          <w:sz w:val="23"/>
          <w:szCs w:val="23"/>
        </w:rPr>
        <w:t>Rastreio de experimentos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Cada política gera um run pai no MLflow com média e intervalo entre seeds, e um run filho por seed — 77 no total: a média fica citável e cada seed permanece auditável. Registram-se política, hiperparâmetros, rodadas, seeds e braços; como métricas, conversão com intervalo, regret, uplift e taxa de exploração.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color w:val="1A1A1A"/>
          <w:sz w:val="23"/>
          <w:szCs w:val="23"/>
        </w:rPr>
        <w:t>Arquitetura-alvo em nuvem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 imagem vai para o ECR e roda em ECS Fargate atrás de um Application Load Balancer, com duas réplicas em zonas distintas e escala automática por CPU. O S3 guarda dataset tratado, ambiente calibrado e runs do MLflow, versionado para permitir retorno a um modelo anterior sem retreinar. A parte que não é infraestrutura genérica é o caminho de volta: decisão servida e desfecho observado vão para um Kinesis Firehose que entrega no S3 particionado por dia, e as posteriores de cada braço vivem numa tabela DynamoDB.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Junto vem um alarme que uma API comum não tem: queda da conversão observada abaixo da taxa-base histórica. CPU e latência podem estar perfeitas enquanto a política recomenda o braço errado para todos os clientes, e somente essa métrica percebe. A infraestrutura está escrita como código em Terraform, verificada com fmt e validate — mas não aplicada.</w:t>
      </w:r>
    </w:p>
    <w:p>
      <w:pPr>
        <w:pStyle w:val="Heading1"/>
        <w:pBdr>
          <w:bottom w:val="single" w:sz="6" w:space="6" w:color="BFBFBF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4E79"/>
          <w:sz w:val="28"/>
          <w:szCs w:val="28"/>
        </w:rPr>
        <w:t>9. Limitações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Esta seção condiciona a leitura de todos os números anteriores, e a apresentamos com o mesmo cuidado dedicado aos resultados.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color w:val="1A1A1A"/>
          <w:sz w:val="23"/>
          <w:szCs w:val="23"/>
        </w:rPr>
        <w:t>A limitação principal: quanto do efeito de canal é calendário?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A campanha não usou os dois canais simultaneamente. O primeiro quarto do log é 100% telefone fixo; a partir do segundo, o celular ultrapassa 90% do volume. No mesmo intervalo, a taxa-base de conversão sobe de 3,5% para 47%. Como o período não integra o contexto — os indicadores macroeconômicos foram excluídos justamente por serem carimbo de calendário — o ambiente atribui ao canal aquilo que pertencia à época.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Restringir a análise à janela em que ambos os canais operaram remove o calendário da comparação:</w:t>
      </w:r>
    </w:p>
    <w:tbl>
      <w:tblPr>
        <w:tblW w:w="9070" w:type="dxa"/>
        <w:jc w:val="start"/>
        <w:tblInd w:w="0" w:type="dxa"/>
        <w:tblLayout w:type="fixed"/>
        <w:tblCellMar>
          <w:top w:w="46" w:type="dxa"/>
          <w:start w:w="105" w:type="dxa"/>
          <w:bottom w:w="46" w:type="dxa"/>
          <w:end w:w="105" w:type="dxa"/>
        </w:tblCellMar>
      </w:tblPr>
      <w:tblGrid>
        <w:gridCol w:w="2721"/>
        <w:gridCol w:w="2176"/>
        <w:gridCol w:w="2359"/>
        <w:gridCol w:w="1814"/>
      </w:tblGrid>
      <w:tr>
        <w:trPr/>
        <w:tc>
          <w:tcPr>
            <w:tcW w:w="2721" w:type="dxa"/>
            <w:tcBorders>
              <w:start w:val="single" w:sz="18" w:space="0" w:color="E8A33D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Braço</w:t>
            </w:r>
          </w:p>
        </w:tc>
        <w:tc>
          <w:tcPr>
            <w:tcW w:w="2176" w:type="dxa"/>
            <w:tcBorders/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Base completa</w:t>
            </w:r>
          </w:p>
        </w:tc>
        <w:tc>
          <w:tcPr>
            <w:tcW w:w="2359" w:type="dxa"/>
            <w:tcBorders/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Só na coexistência</w:t>
            </w:r>
          </w:p>
        </w:tc>
        <w:tc>
          <w:tcPr>
            <w:tcW w:w="1814" w:type="dxa"/>
            <w:tcBorders/>
            <w:shd w:color="auto" w:fill="E8EEF4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Diferença</w:t>
            </w:r>
          </w:p>
        </w:tc>
      </w:tr>
      <w:tr>
        <w:trPr/>
        <w:tc>
          <w:tcPr>
            <w:tcW w:w="2721" w:type="dxa"/>
            <w:tcBorders>
              <w:start w:val="single" w:sz="18" w:space="0" w:color="E8A33D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cellular | mid</w:t>
            </w:r>
          </w:p>
        </w:tc>
        <w:tc>
          <w:tcPr>
            <w:tcW w:w="2176" w:type="dxa"/>
            <w:tcBorders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15,47%</w:t>
            </w:r>
          </w:p>
        </w:tc>
        <w:tc>
          <w:tcPr>
            <w:tcW w:w="2359" w:type="dxa"/>
            <w:tcBorders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15,47%</w:t>
            </w:r>
          </w:p>
        </w:tc>
        <w:tc>
          <w:tcPr>
            <w:tcW w:w="1814" w:type="dxa"/>
            <w:tcBorders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2721" w:type="dxa"/>
            <w:tcBorders>
              <w:start w:val="single" w:sz="18" w:space="0" w:color="E8A33D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telephone | mid</w:t>
            </w:r>
          </w:p>
        </w:tc>
        <w:tc>
          <w:tcPr>
            <w:tcW w:w="2176" w:type="dxa"/>
            <w:tcBorders/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5,38%</w:t>
            </w:r>
          </w:p>
        </w:tc>
        <w:tc>
          <w:tcPr>
            <w:tcW w:w="2359" w:type="dxa"/>
            <w:tcBorders/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12,94%</w:t>
            </w:r>
          </w:p>
        </w:tc>
        <w:tc>
          <w:tcPr>
            <w:tcW w:w="1814" w:type="dxa"/>
            <w:tcBorders/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+7,56 p.p.</w:t>
            </w:r>
          </w:p>
        </w:tc>
      </w:tr>
      <w:tr>
        <w:trPr/>
        <w:tc>
          <w:tcPr>
            <w:tcW w:w="2721" w:type="dxa"/>
            <w:tcBorders>
              <w:start w:val="single" w:sz="18" w:space="0" w:color="E8A33D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telephone | late</w:t>
            </w:r>
          </w:p>
        </w:tc>
        <w:tc>
          <w:tcPr>
            <w:tcW w:w="2176" w:type="dxa"/>
            <w:tcBorders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5,34%</w:t>
            </w:r>
          </w:p>
        </w:tc>
        <w:tc>
          <w:tcPr>
            <w:tcW w:w="2359" w:type="dxa"/>
            <w:tcBorders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12,55%</w:t>
            </w:r>
          </w:p>
        </w:tc>
        <w:tc>
          <w:tcPr>
            <w:tcW w:w="1814" w:type="dxa"/>
            <w:tcBorders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+7,21 p.p.</w:t>
            </w:r>
          </w:p>
        </w:tc>
      </w:tr>
      <w:tr>
        <w:trPr/>
        <w:tc>
          <w:tcPr>
            <w:tcW w:w="2721" w:type="dxa"/>
            <w:tcBorders>
              <w:start w:val="single" w:sz="18" w:space="0" w:color="E8A33D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telephone | early</w:t>
            </w:r>
          </w:p>
        </w:tc>
        <w:tc>
          <w:tcPr>
            <w:tcW w:w="2176" w:type="dxa"/>
            <w:tcBorders/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4,67%</w:t>
            </w:r>
          </w:p>
        </w:tc>
        <w:tc>
          <w:tcPr>
            <w:tcW w:w="2359" w:type="dxa"/>
            <w:tcBorders/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10,43%</w:t>
            </w:r>
          </w:p>
        </w:tc>
        <w:tc>
          <w:tcPr>
            <w:tcW w:w="1814" w:type="dxa"/>
            <w:tcBorders/>
            <w:shd w:color="auto" w:fill="F5F7FA" w:val="clea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+5,76 p.p.</w:t>
            </w:r>
          </w:p>
        </w:tc>
      </w:tr>
      <w:tr>
        <w:trPr/>
        <w:tc>
          <w:tcPr>
            <w:tcW w:w="9070" w:type="dxa"/>
            <w:gridSpan w:val="4"/>
            <w:tcBorders>
              <w:start w:val="single" w:sz="18" w:space="0" w:color="E8A33D"/>
            </w:tcBorders>
            <w:shd w:color="auto" w:fill="FFF4E5" w:val="clear"/>
            <w:tcMar>
              <w:top w:w="140" w:type="dxa"/>
              <w:start w:w="200" w:type="dxa"/>
              <w:bottom w:w="140" w:type="dxa"/>
              <w:end w:w="160" w:type="dxa"/>
            </w:tcMar>
          </w:tcPr>
          <w:p>
            <w:pPr>
              <w:pStyle w:val="Normal"/>
              <w:spacing w:lineRule="auto" w:line="250" w:before="0" w:after="0"/>
              <w:rPr/>
            </w:pP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 xml:space="preserve">A vantagem do celular sobre o telefone fixo é inflada 9,4 vezes pelo confounding temporal: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+181,7% medida na base completa contra +19,3% dentro da janela de coexistência. Em consequência, o uplift de +18,2% pressupõe que o efeito de canal seja causal; sob leitura conservadora, ele fica em torno de 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>+8% a +9%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. A decisão que a política toma permanece correta — dado o log, cellular | mid é o melhor braço — mas a magnitude exige essa ressalva.</w:t>
            </w:r>
          </w:p>
        </w:tc>
      </w:tr>
    </w:tbl>
    <w:p>
      <w:pPr>
        <w:pStyle w:val="Normal"/>
        <w:spacing w:lineRule="auto" w:line="250" w:before="12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Duas correções foram testadas e descartadas, com motivo documentado. Restringir a base à coexistência tornaria a análise causalmente limpa e o resultado nulo: lá a campanha já usava celular em 90% das ligações e nenhuma política adaptativa supera o baseline. E uma regra congelada antes de o celular existir perde só +2,8% depois que ele aparece — este dataset não oferece o contraexemplo de “a regra fixa quebra quando o mundo muda”.</w:t>
      </w:r>
    </w:p>
    <w:p>
      <w:pPr>
        <w:pStyle w:val="Heading2"/>
        <w:spacing w:before="190" w:after="80"/>
        <w:rPr/>
      </w:pPr>
      <w:r>
        <w:rPr>
          <w:rFonts w:eastAsia="Calibri" w:cs="Calibri" w:ascii="Calibri" w:hAnsi="Calibri"/>
          <w:b/>
          <w:bCs/>
          <w:color w:val="1A1A1A"/>
          <w:sz w:val="23"/>
          <w:szCs w:val="23"/>
        </w:rPr>
        <w:t>Demais limitações</w:t>
      </w:r>
    </w:p>
    <w:p>
      <w:pPr>
        <w:pStyle w:val="ListParagraph"/>
        <w:numPr>
          <w:ilvl w:val="0"/>
          <w:numId w:val="1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Extrapolação nos braços de telefone fixo.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Para 3,76% e 4,37% dos clientes, telephone | early e telephone | late têm propensão abaixo de 1% — nessas regiões o ambiente prediz onde o log praticamente não observou.</w:t>
      </w:r>
    </w:p>
    <w:p>
      <w:pPr>
        <w:pStyle w:val="ListParagraph"/>
        <w:numPr>
          <w:ilvl w:val="0"/>
          <w:numId w:val="1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Hiperparâmetros calibrados no mesmo ambiente em que são reportados.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Isso favorece as políticas adaptativas frente ao baseline, que não tem o que calibrar. A varredura completa está publicada para que o efeito seja visível em vez de embutido.</w:t>
      </w:r>
    </w:p>
    <w:p>
      <w:pPr>
        <w:pStyle w:val="ListParagraph"/>
        <w:numPr>
          <w:ilvl w:val="0"/>
          <w:numId w:val="1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Baixa amostra efetiva no replay.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O track C descarta de 61% a 83% do log conforme a política; diferenças pequenas não são detectáveis nele.</w:t>
      </w:r>
    </w:p>
    <w:p>
      <w:pPr>
        <w:pStyle w:val="ListParagraph"/>
        <w:numPr>
          <w:ilvl w:val="0"/>
          <w:numId w:val="1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Ambiente calibrado não é tráfego real.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Nenhum resultado offline substitui um teste em produção.</w:t>
      </w:r>
    </w:p>
    <w:p>
      <w:pPr>
        <w:pStyle w:val="ListParagraph"/>
        <w:numPr>
          <w:ilvl w:val="0"/>
          <w:numId w:val="1"/>
        </w:numPr>
        <w:spacing w:lineRule="auto" w:line="250" w:before="0" w:after="8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A exploração da API é sem estado. </w:t>
      </w:r>
      <w:r>
        <w:rPr>
          <w:rFonts w:eastAsia="Calibri" w:cs="Calibri"/>
          <w:b w:val="false"/>
          <w:bCs w:val="false"/>
          <w:color w:val="1A1A1A"/>
          <w:sz w:val="21"/>
          <w:szCs w:val="21"/>
        </w:rPr>
        <w:t>Aprendizado online de fato exige endpoint de feedback e posteriores persistidas — desenhado na infraestrutura, não implementado na aplicação.</w:t>
      </w:r>
    </w:p>
    <w:p>
      <w:pPr>
        <w:pStyle w:val="Heading1"/>
        <w:pBdr>
          <w:bottom w:val="single" w:sz="6" w:space="6" w:color="BFBFBF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4E79"/>
          <w:sz w:val="28"/>
          <w:szCs w:val="28"/>
        </w:rPr>
        <w:t>10. Governança</w:t>
      </w:r>
    </w:p>
    <w:tbl>
      <w:tblPr>
        <w:tblW w:w="9070" w:type="dxa"/>
        <w:jc w:val="start"/>
        <w:tblInd w:w="0" w:type="dxa"/>
        <w:tblLayout w:type="fixed"/>
        <w:tblCellMar>
          <w:top w:w="46" w:type="dxa"/>
          <w:start w:w="105" w:type="dxa"/>
          <w:bottom w:w="46" w:type="dxa"/>
          <w:end w:w="105" w:type="dxa"/>
        </w:tblCellMar>
      </w:tblPr>
      <w:tblGrid>
        <w:gridCol w:w="1632"/>
        <w:gridCol w:w="7438"/>
      </w:tblGrid>
      <w:tr>
        <w:trPr/>
        <w:tc>
          <w:tcPr>
            <w:tcW w:w="1632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Dimensão</w:t>
            </w:r>
          </w:p>
        </w:tc>
        <w:tc>
          <w:tcPr>
            <w:tcW w:w="7438" w:type="dxa"/>
            <w:tcBorders>
              <w:top w:val="single" w:sz="4" w:space="0" w:color="BFBFBF"/>
              <w:bottom w:val="single" w:sz="2" w:space="0" w:color="D9D9D9"/>
            </w:tcBorders>
            <w:shd w:color="auto" w:fill="E8EEF4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/>
                <w:bCs/>
                <w:color w:val="1A1A1A"/>
                <w:sz w:val="19"/>
                <w:szCs w:val="19"/>
              </w:rPr>
              <w:t>Tratamento</w:t>
            </w:r>
          </w:p>
        </w:tc>
      </w:tr>
      <w:tr>
        <w:trPr/>
        <w:tc>
          <w:tcPr>
            <w:tcW w:w="163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Base legal</w:t>
            </w:r>
          </w:p>
        </w:tc>
        <w:tc>
          <w:tcPr>
            <w:tcW w:w="7438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Dados públicos de pesquisa acadêmica sob CC BY 4.0 — não há titular a quem responder neste escopo. Num sistema real: legítimo interesse (LGPD art. 7º, IX) para otimização de canal, com teste de proporcionalidade documentado e oposição garantida; consentimento (art. 7º, I) para marketing ativo.</w:t>
            </w:r>
          </w:p>
        </w:tc>
      </w:tr>
      <w:tr>
        <w:trPr/>
        <w:tc>
          <w:tcPr>
            <w:tcW w:w="163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Finalidade</w:t>
            </w:r>
          </w:p>
        </w:tc>
        <w:tc>
          <w:tcPr>
            <w:tcW w:w="7438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Única e declarada: decidir por qual canal e em que janela abordar cliente já elegível. Não decide elegibilidade, não pontua risco de crédito, não define preço. Reaproveitar os modelos para negar produto ou precificar seria desvio de finalidade.</w:t>
            </w:r>
          </w:p>
        </w:tc>
      </w:tr>
      <w:tr>
        <w:trPr/>
        <w:tc>
          <w:tcPr>
            <w:tcW w:w="1632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Minimização</w:t>
            </w:r>
          </w:p>
        </w:tc>
        <w:tc>
          <w:tcPr>
            <w:tcW w:w="7438" w:type="dxa"/>
            <w:tcBorders>
              <w:top w:val="single" w:sz="2" w:space="0" w:color="D9D9D9"/>
              <w:bottom w:val="single" w:sz="2" w:space="0" w:color="D9D9D9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12 colunas de contexto, cada exclusão com motivo registrado: duration por vazamento; indicadores macro por serem carimbo de calendário; gênero, raça, renda e patrimônio ausentes do dataset e vedados pelo enunciado; identificadores inexistentes. O contrato da API é a fronteira — não há campo livre por onde um identificador entre.</w:t>
            </w:r>
          </w:p>
        </w:tc>
      </w:tr>
      <w:tr>
        <w:trPr/>
        <w:tc>
          <w:tcPr>
            <w:tcW w:w="1632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Retenção</w:t>
            </w:r>
          </w:p>
        </w:tc>
        <w:tc>
          <w:tcPr>
            <w:tcW w:w="7438" w:type="dxa"/>
            <w:tcBorders>
              <w:top w:val="single" w:sz="2" w:space="0" w:color="D9D9D9"/>
              <w:bottom w:val="single" w:sz="2" w:space="0" w:color="D9D9D9"/>
            </w:tcBorders>
            <w:shd w:color="auto" w:fill="F5F7FA" w:val="clea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Log de recompensas expira em 180 dias, por regra de ciclo de vida do S3 — prazo derivado da finalidade, que é a janela necessária para reavaliar política e detectar deriva. Logs de aplicação, 30 dias. Artefatos de modelo versionados sem expiração, porque reproduzir uma decisão passada exige o modelo que a produziu.</w:t>
            </w:r>
          </w:p>
        </w:tc>
      </w:tr>
      <w:tr>
        <w:trPr/>
        <w:tc>
          <w:tcPr>
            <w:tcW w:w="1632" w:type="dxa"/>
            <w:tcBorders>
              <w:top w:val="single" w:sz="2" w:space="0" w:color="D9D9D9"/>
              <w:bottom w:val="single" w:sz="4" w:space="0" w:color="BFBFBF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Humano no loop</w:t>
            </w:r>
          </w:p>
        </w:tc>
        <w:tc>
          <w:tcPr>
            <w:tcW w:w="7438" w:type="dxa"/>
            <w:tcBorders>
              <w:top w:val="single" w:sz="2" w:space="0" w:color="D9D9D9"/>
              <w:bottom w:val="single" w:sz="4" w:space="0" w:color="BFBFBF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1A1A1A"/>
                <w:sz w:val="19"/>
                <w:szCs w:val="19"/>
              </w:rPr>
              <w:t>A recomendação é sugestão de canal, nunca ação automática sobre o cliente. Três salvaguardas: (i) a resposta sinaliza empate e orienta decidir por custo, admitindo quando não sabe; (ii) o alarme de queda de conversão notifica um humano, não dispara rollback automático — degradação de modelo pede diagnóstico; (iii) frequência de contato permanece regra de negócio, fora do modelo.</w:t>
            </w:r>
          </w:p>
        </w:tc>
      </w:tr>
    </w:tbl>
    <w:p>
      <w:pPr>
        <w:pStyle w:val="Heading1"/>
        <w:pBdr>
          <w:bottom w:val="single" w:sz="6" w:space="6" w:color="BFBFBF"/>
        </w:pBdr>
        <w:spacing w:before="260" w:after="120"/>
        <w:rPr/>
      </w:pPr>
      <w:r>
        <w:rPr>
          <w:rFonts w:eastAsia="Calibri" w:cs="Calibri" w:ascii="Calibri" w:hAnsi="Calibri"/>
          <w:b/>
          <w:bCs/>
          <w:color w:val="1F4E79"/>
          <w:sz w:val="28"/>
          <w:szCs w:val="28"/>
        </w:rPr>
        <w:t>11. Conclusão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O trabalho entrega as Etapas 0 a 7 do enunciado, com 189 testes automatizados e verificação estática limpa. O requisito central — algoritmo adaptativo superando o baseline — está cumprido com folga: +18,2% sobre a política de log, sem sobreposição de intervalos e confirmado por dois métodos que não compartilham premissas. Duas contribuições nos parecem mais relevantes que esse número de manchete.</w:t>
      </w:r>
    </w:p>
    <w:p>
      <w:pPr>
        <w:pStyle w:val="Normal"/>
        <w:spacing w:lineRule="auto" w:line="250" w:before="0" w:after="12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A primeira é metodológica. </w:t>
      </w:r>
      <w:r>
        <w:rPr>
          <w:rFonts w:eastAsia="Calibri" w:cs="Calibri"/>
          <w:color w:val="1A1A1A"/>
          <w:sz w:val="21"/>
          <w:szCs w:val="21"/>
        </w:rPr>
        <w:t>Medimos o teto do ganho contextual antes de assumir que personalizar valeria a pena, e ele era de apenas +4,44%. Implementamos a política contextual mesmo assim, medimos seu custo de exploração, e mostramos que nestes dados ela não se paga — validando por teste independente que a implementação detecta heterogeneidade quando esta existe. Resultado nulo com causa medida é conhecimento; resultado nulo sem explicação seria apenas uma falha.</w:t>
      </w:r>
    </w:p>
    <w:p>
      <w:pPr>
        <w:pStyle w:val="Normal"/>
        <w:spacing w:lineRule="auto" w:line="250" w:before="0" w:after="120"/>
        <w:rPr/>
      </w:pPr>
      <w:r>
        <w:rPr>
          <w:rFonts w:eastAsia="Calibri" w:cs="Calibri"/>
          <w:b/>
          <w:bCs/>
          <w:color w:val="1A1A1A"/>
          <w:sz w:val="21"/>
          <w:szCs w:val="21"/>
        </w:rPr>
        <w:t xml:space="preserve">A segunda é a quantificação da própria limitação. </w:t>
      </w:r>
      <w:r>
        <w:rPr>
          <w:rFonts w:eastAsia="Calibri" w:cs="Calibri"/>
          <w:color w:val="1A1A1A"/>
          <w:sz w:val="21"/>
          <w:szCs w:val="21"/>
        </w:rPr>
        <w:t>Descobrimos que a vantagem do canal está inflada 9,4 vezes por confounding temporal, e publicamos esse número junto ao resultado principal em vez de omiti-lo. Testamos duas correções e ambas falharam por motivos que também documentamos. O enunciado pede que o baseline sirva para mostrar “ganho ou limitação” da política adaptativa — mostramos os dois.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O que este trabalho não demonstra, e convém dizer com clareza: que um bandit seria superior a uma regra fixa bem escolhida neste cenário. O ambiente é estacionário por construção e tem um braço dominante — condições sob as quais cravar nesse braço é a política ótima. O valor da abordagem adaptativa aparece quando o melhor braço muda, quando entra um braço novo ou quando não há histórico, e procuramos esse contraexemplo nos dados sem encontrá-lo.</w:t>
      </w:r>
    </w:p>
    <w:p>
      <w:pPr>
        <w:pStyle w:val="Normal"/>
        <w:spacing w:lineRule="auto" w:line="250" w:before="0" w:after="10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O caminho para produção está desenhado e a lacuna é conhecida: o ciclo de feedback que transformaria a exploração da API em aprendizado online real existe na infraestrutura como código, mas não na aplicação. É o próximo passo natural, e é onde a abordagem passaria a valer o que promete.</w:t>
      </w:r>
    </w:p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ageBreakBefore/>
        <w:pBdr>
          <w:bottom w:val="single" w:sz="6" w:space="6" w:color="BFBFBF"/>
        </w:pBdr>
        <w:spacing w:before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F4E79"/>
          <w:sz w:val="28"/>
          <w:szCs w:val="28"/>
        </w:rPr>
        <w:t>Referências</w:t>
      </w:r>
    </w:p>
    <w:p>
      <w:pPr>
        <w:pStyle w:val="Normal"/>
        <w:spacing w:lineRule="auto" w:line="250" w:before="0" w:after="16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Elaboradas conforme ABNT NBR 6023:2018; citações no texto conforme NBR 10520:2023. Todos os registros foram conferidos contra as APIs do Crossref e do DataCite — a verificação é reexecutável por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python scripts/verify_references.py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, que falha se qualquer autor, ano, veículo ou paginação divergir do registro oficial.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AGRAWAL, S.; GOYAL, N. Thompson sampling for contextual bandits with linear payoffs. In: INTERNATIONAL CONFERENCE ON MACHINE LEARNING, 30., 2013, Atlanta.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Proceedings of Machine Learning Research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, v. 28, p. 127-135, 2013. Disponível em: https://proceedings.mlr.press/v28/agrawal13.html. Acesso em: 9 set. 2026.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AUER, P.; CESA-BIANCHI, N.; FISCHER, P. Finite-time analysis of the multiarmed bandit problem.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Machine Learning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, v. 47, n. 2-3, p. 235-256, 2002. DOI: 10.1023/A:1013689704352.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BRIER, G. W. Verification of forecasts expressed in terms of probability.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Monthly Weather Review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, v. 78, n. 1, p. 1-3, 1950. DOI: 10.1175/1520-0493(1950)078&lt;0001:VOFEIT&gt;2.0.CO;2.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CHAPELLE, O.; LI, L. An empirical evaluation of Thompson sampling. In: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Advances in Neural Information Processing Systems 24 (NIPS 2011)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. Granada: Curran Associates, 2011. Disponível em: https://proceedings.neurips.cc/paper/2011/hash/e53a0a2978c28872a4505bdb51db06dc-Abstract.html. Acesso em: 9 set. 2026.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DUDÍK, M.; LANGFORD, J.; LI, L. Doubly robust policy evaluation and learning. In: INTERNATIONAL CONFERENCE ON MACHINE LEARNING, 28., 2011, Bellevue.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Proceedings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[...]. Madison: Omnipress, 2011. DOI: 10.48550/arXiv.1103.4601.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KOHAVI, R.; TANG, D.; XU, Y.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Trustworthy online controlled experiments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: a practical guide to A/B testing. Cambridge: Cambridge University Press, 2020. DOI: 10.1017/9781108653985.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LAI, T. L.; ROBBINS, H. Asymptotically efficient adaptive allocation rules.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Advances in Applied Mathematics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, v. 6, n. 1, p. 4-22, 1985. DOI: 10.1016/0196-8858(85)90002-8.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LATTIMORE, T.; SZEPESVÁRI, C.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Bandit algorithms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. Cambridge: Cambridge University Press, 2020. DOI: 10.1017/9781108571401.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LI, L.; CHU, W.; LANGFORD, J.; SCHAPIRE, R. E. A contextual-bandit approach to personalized news article recommendation. In: INTERNATIONAL CONFERENCE ON WORLD WIDE WEB, 19., 2010, Raleigh.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Proceedings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[...]. New York: ACM, 2010. p. 661-670. DOI: 10.1145/1772690.1772758.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LI, L.; CHU, W.; LANGFORD, J.; WANG, X. Unbiased offline evaluation of contextual-bandit-based news article recommendation algorithms. In: ACM INTERNATIONAL CONFERENCE ON WEB SEARCH AND DATA MINING, 4., 2011, Hong Kong.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Proceedings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[...]. New York: ACM, 2011. p. 297-306. DOI: 10.1145/1935826.1935878.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MORO, S.; CORTEZ, P.; RITA, P. A data-driven approach to predict the success of bank telemarketing.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Decision Support Systems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, v. 62, p. 22-31, 2014. DOI: 10.1016/j.dss.2014.03.001.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ROBBINS, H. Some aspects of the sequential design of experiments.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Bulletin of the American Mathematical Society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, v. 58, n. 5, p. 527-535, 1952. DOI: 10.1090/S0002-9904-1952-09620-8.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SUTTON, R. S.; BARTO, A. G.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Reinforcement learning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: an introduction. 2. ed. Cambridge, MA: MIT Press, 2018. ISBN 978-0-262-03924-6.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THOMPSON, W. R. On the likelihood that one unknown probability exceeds another in view of the evidence of two samples.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Biometrika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, v. 25, n. 3-4, p. 285-294, 1933. DOI: 10.1093/biomet/25.3-4.285.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WILSON, E. B. Probable inference, the law of succession, and statistical inference.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Journal of the American Statistical Association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>, v. 22, n. 158, p. 209-212, 1927. DOI: 10.1080/01621459.1927.10502953.</w:t>
      </w:r>
    </w:p>
    <w:p>
      <w:pPr>
        <w:pStyle w:val="Normal"/>
        <w:spacing w:lineRule="auto" w:line="250" w:before="0" w:after="11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ZADROZNY, B.; ELKAN, C. Transforming classifier scores into accurate multiclass probability estimates. In: ACM SIGKDD INTERNATIONAL CONFERENCE ON KNOWLEDGE DISCOVERY AND DATA MINING, 8., 2002, Edmonton. </w:t>
      </w:r>
      <w:r>
        <w:rPr>
          <w:rFonts w:eastAsia="Calibri" w:cs="Calibri"/>
          <w:b w:val="false"/>
          <w:bCs w:val="false"/>
          <w:i/>
          <w:iCs/>
          <w:color w:val="1A1A1A"/>
          <w:sz w:val="21"/>
          <w:szCs w:val="21"/>
        </w:rPr>
        <w:t>Proceedings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[...]. New York: ACM, 2002. p. 694-699. DOI: 10.1145/775047.775151.</w:t>
      </w:r>
    </w:p>
    <w:p>
      <w:pPr>
        <w:pStyle w:val="Normal"/>
        <w:spacing w:lineRule="auto" w:line="250" w:before="0" w:after="10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595959"/>
          <w:sz w:val="19"/>
          <w:szCs w:val="19"/>
        </w:rPr>
        <w:t>Código, dados de reprodução, figuras e documentação completa: github.com/marianaparise/datathon-8mlet-grupo-30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18" w:right="1418" w:gutter="0" w:header="0" w:top="1418" w:footer="708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00" w:after="0"/>
      <w:jc w:val="center"/>
      <w:rPr/>
    </w:pPr>
    <w:r>
      <w:rPr>
        <w:rFonts w:eastAsia="Calibri" w:cs="Calibri"/>
        <w:color w:val="595959"/>
        <w:sz w:val="16"/>
        <w:szCs w:val="16"/>
      </w:rPr>
      <w:t xml:space="preserve">Datathon 8MLET — Grupo 30  |  </w:t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fldChar w:fldCharType="begin"/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instrText xml:space="preserve"> PAGE </w:instrText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fldChar w:fldCharType="separate"/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t>15</w:t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fldChar w:fldCharType="end"/>
    </w:r>
    <w:r>
      <w:rPr>
        <w:rFonts w:eastAsia="Calibri" w:cs="Calibri"/>
        <w:color w:val="595959"/>
        <w:sz w:val="16"/>
        <w:szCs w:val="16"/>
      </w:rPr>
      <w:t xml:space="preserve"> / </w:t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fldChar w:fldCharType="begin"/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instrText xml:space="preserve"> NUMPAGES </w:instrText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fldChar w:fldCharType="separate"/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t>15</w:t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00" w:after="0"/>
      <w:jc w:val="center"/>
      <w:rPr/>
    </w:pPr>
    <w:r>
      <w:rPr>
        <w:rFonts w:eastAsia="Calibri" w:cs="Calibri"/>
        <w:color w:val="595959"/>
        <w:sz w:val="16"/>
        <w:szCs w:val="16"/>
      </w:rPr>
      <w:t xml:space="preserve">Datathon 8MLET — Grupo 30  |  </w:t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fldChar w:fldCharType="begin"/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instrText xml:space="preserve"> PAGE </w:instrText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fldChar w:fldCharType="separate"/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t>15</w:t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fldChar w:fldCharType="end"/>
    </w:r>
    <w:r>
      <w:rPr>
        <w:rFonts w:eastAsia="Calibri" w:cs="Calibri"/>
        <w:color w:val="595959"/>
        <w:sz w:val="16"/>
        <w:szCs w:val="16"/>
      </w:rPr>
      <w:t xml:space="preserve"> / </w:t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fldChar w:fldCharType="begin"/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instrText xml:space="preserve"> NUMPAGES </w:instrText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fldChar w:fldCharType="separate"/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t>15</w:t>
    </w:r>
    <w:r>
      <w:rPr>
        <w:rFonts w:eastAsia="Calibri" w:cs="Calibri"/>
        <w:b w:val="false"/>
        <w:bCs w:val="false"/>
        <w:i w:val="false"/>
        <w:iCs w:val="false"/>
        <w:color w:val="595959"/>
        <w:sz w:val="19"/>
        <w:szCs w:val="19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40" w:hanging="20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680" w:hanging="20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sz w:val="21"/>
        <w:szCs w:val="21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1"/>
      <w:szCs w:val="21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A1A1A"/>
      <w:kern w:val="0"/>
      <w:sz w:val="21"/>
      <w:szCs w:val="21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1"/>
      <w:szCs w:val="21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1392</TotalTime>
  <Application>LibreOffice/26.2.5.2$Linux_X86_64 LibreOffice_project/6d2b0d33fb0f5da53a12f98bed3e9973e56ff1f0</Application>
  <AppVersion>15.0000</AppVersion>
  <Pages>15</Pages>
  <Words>5499</Words>
  <Characters>29833</Characters>
  <CharactersWithSpaces>34976</CharactersWithSpaces>
  <Paragraphs>416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2026-08-24T18:08:20Z</dcterms:created>
  <dc:creator>Grupo 30 — 8MLET</dc:creator>
  <dc:description>Relatório técnico — Datathon POSTECH MLET Fase 5</dc:description>
  <dc:language>pt-BR</dc:language>
  <cp:lastModifiedBy/>
  <dcterms:modified xsi:type="dcterms:W3CDTF">2026-09-10T19:54:10Z</dcterms:modified>
  <cp:revision>2</cp:revision>
  <dc:subject/>
  <dc:title>Plataforma de Experimentação Adaptativa para Decisão de Canal</dc:title>
</cp:coreProperties>
</file>