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95959"/>
          <w:spacing w:val="40"/>
          <w:sz w:val="20"/>
          <w:szCs w:val="20"/>
        </w:rPr>
        <w:t xml:space="preserve">POSTECH MLET — DATATHON, FASE 5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Plataforma de Experimentação Adaptativa para Decisão de Canal</w:t>
      </w:r>
    </w:p>
    <w:p>
      <w:pPr>
        <w:spacing w:after="5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Multi-armed bandit aplicado a campanhas bancárias, com avaliação em duas camadas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2358"/>
        <w:gridCol w:w="6712"/>
      </w:tblGrid>
      <w:tr>
        <w:tc>
          <w:tcPr>
            <w:tcW w:type="dxa" w:w="2358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Turma</w:t>
            </w:r>
          </w:p>
        </w:tc>
        <w:tc>
          <w:tcPr>
            <w:tcW w:type="dxa" w:w="6712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8MLET — Grupo 30</w:t>
            </w:r>
          </w:p>
        </w:tc>
      </w:tr>
      <w:tr>
        <w:tc>
          <w:tcPr>
            <w:tcW w:type="dxa" w:w="2358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671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github.com/marianaparise/datathon-8mlet-grupo-30</w:t>
            </w:r>
          </w:p>
        </w:tc>
      </w:tr>
      <w:tr>
        <w:tc>
          <w:tcPr>
            <w:tcW w:type="dxa" w:w="2358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Base de dados</w:t>
            </w:r>
          </w:p>
        </w:tc>
        <w:tc>
          <w:tcPr>
            <w:tcW w:type="dxa" w:w="671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bank-marketing (Kaggle / UCI 222) — CC BY 4.0</w:t>
            </w:r>
          </w:p>
        </w:tc>
      </w:tr>
      <w:tr>
        <w:tc>
          <w:tcPr>
            <w:tcW w:type="dxa" w:w="2358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Escopo entregue</w:t>
            </w:r>
          </w:p>
        </w:tc>
        <w:tc>
          <w:tcPr>
            <w:tcW w:type="dxa" w:w="671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Etapas 0 a 7 do enunciado</w:t>
            </w:r>
          </w:p>
        </w:tc>
      </w:tr>
      <w:tr>
        <w:tc>
          <w:tcPr>
            <w:tcW w:type="dxa" w:w="2358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Suíte de testes</w:t>
            </w:r>
          </w:p>
        </w:tc>
        <w:tc>
          <w:tcPr>
            <w:tcW w:type="dxa" w:w="671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189 testes automatizados</w:t>
            </w:r>
          </w:p>
        </w:tc>
      </w:tr>
    </w:tbl>
    <w:p>
      <w:pPr>
        <w:spacing w:before="500"/>
      </w:pPr>
    </w:p>
    <w:tbl>
      <w:tblPr>
        <w:tblW w:type="dxa" w:w="9070"/>
        <w:tblBorders>
          <w:top w:val="none" w:color="FFFFFF" w:sz="0"/>
          <w:left w:val="single" w:color="E8A33D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EAF3E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Resultado principal.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melhor política adaptativa converte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13,01%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contra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11,01%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da política de log — um ganho de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+18,2%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, sem sobreposição de intervalos de confiança e confirmado por dois métodos de avaliação independentes. Este relatório apresenta o resultado e, com o mesmo cuidado, a extensão em que ele deve ser relativizado.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O problema de negócio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Uma instituição financeira digital precisa decidir, para cada cliente elegível, por qual canal e em que momento abordá-lo. Hoje essa decisão costuma ser tomada de dois modos, e os dois desperdiçam tráfego.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Regra fixa.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Congela a decisão numa política única — “ligue no celular, começo de semana”. Não reage a mudança de contexto, não personaliza, e só é revista quando alguém decide revê-la.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 A/B longo.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Divide o tráfego meio a meio por semanas e só decide no fim. Durante todo o experimento, metade dos clientes recebe deliberadamente a abordagem pior.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alternativa é uma abordagem adaptativa — multi-armed bandit — que realoca tráfego em tempo real conforme a evidência chega, equilibrando exploração do que ainda é incerto com explotação do que já se sabe funcionar.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O que este sistema decide, e o que não decide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espaço de decisão é deliberadamente estreito: seis combinações de canal e janela. O sistema não decide elegibilidade, não recusa produto, não precifica e não gera texto. O dano possível de uma recomendação errada é uma ligação em horário ruim — contenção de escopo por escolha de projeto, não por limitação técnica.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A base e a formulação do problema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Usamos a base bank-marketing (Kaggle, henriqueyamahata), equivalente ao bank-additional-full.csv do UCI Machine Learning Repository: 41.188 registros de campanhas de telemarketing de um banco português, com alvo binário indicando assinatura de depósito a prazo. Taxa de conversão global de 11,27%. Licença CC BY 4.0.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coluna duration foi descartada.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Ela registra a duração da ligação, conhecida apenas após o desfecho. O enunciado a proíbe nominalmente, e a análise mostra por quê: um modelo treinado apenas com duration alcança AUC 0,819 — acima das 19 features legítimas juntas, que somam 0,816.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O obstáculo central: a base não tem braços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Um bandit precisa escolher entre múltiplas ações. Este log registra uma só: “ligamos e oferecemos depósito a prazo”. Cada linha é um par (cliente, converteu?). E como só se observa o resultado da ação efetivamente tomada, o que teria acontecido sob outra ação — o contrafactual — não está no dado. Não por falha de coleta, mas por impossibilidade lógica.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saída veio de uma observação sobre o dataset: nem toda coluna descreve o cliente. Algumas registram decisões que a própria campanha tomou.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2721"/>
        <w:gridCol w:w="6349"/>
      </w:tblGrid>
      <w:tr>
        <w:tc>
          <w:tcPr>
            <w:tcW w:type="dxa" w:w="272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Papel</w:t>
            </w:r>
          </w:p>
        </w:tc>
        <w:tc>
          <w:tcPr>
            <w:tcW w:type="dxa" w:w="634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Colunas</w:t>
            </w:r>
          </w:p>
        </w:tc>
      </w:tr>
      <w:tr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Contexto — quem é o cliente</w:t>
            </w:r>
          </w:p>
        </w:tc>
        <w:tc>
          <w:tcPr>
            <w:tcW w:type="dxa" w:w="63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age, job, marital, education, default, housing, loan, campaign, pdays, previous, poutcome</w:t>
            </w:r>
          </w:p>
        </w:tc>
      </w:tr>
      <w:tr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Ação — o que o banco escolheu</w:t>
            </w:r>
          </w:p>
        </w:tc>
        <w:tc>
          <w:tcPr>
            <w:tcW w:type="dxa" w:w="63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contact (celular / telefone fixo), month, day_of_week</w:t>
            </w:r>
          </w:p>
        </w:tc>
      </w:tr>
      <w:tr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Alvo</w:t>
            </w:r>
          </w:p>
        </w:tc>
        <w:tc>
          <w:tcPr>
            <w:tcW w:type="dxa" w:w="63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 — assinou depósito a prazo</w:t>
            </w:r>
          </w:p>
        </w:tc>
      </w:tr>
      <w:tr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Proibida</w:t>
            </w:r>
          </w:p>
        </w:tc>
        <w:tc>
          <w:tcPr>
            <w:tcW w:type="dxa" w:w="63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duration</w:t>
            </w:r>
          </w:p>
        </w:tc>
      </w:tr>
    </w:tbl>
    <w:p>
      <w:pPr>
        <w:spacing w:after="14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Os braços saem das colunas de ação, e isso tem consequência decisiva: todo braço aparece no log histórico, logo P(conversão | contexto, braço) é estimável de dado observado para qualquer braço — sem sintetizar recompensa. O enunciado pede decidir “qual oferta, mensagem ou próximo passo”; canal e momento são exatamente isso.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Os seis braços, fixados por suporte amostral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critério foi registrado antes da análise: o pior braço precisa de pelo menos 1.000 eventos e 100 conversões. day_of_week entra agregado em três janelas — early (segunda), mid (terça a quinta) e late (sexta) — porque a conversão por dia mostra exatamente essa estrutura. month fica fora do braço: cruzá-lo geraria 100 células e ele é o principal confundidor temporal.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2177"/>
        <w:gridCol w:w="1361"/>
        <w:gridCol w:w="1542"/>
        <w:gridCol w:w="1451"/>
        <w:gridCol w:w="2540"/>
      </w:tblGrid>
      <w:tr>
        <w:tc>
          <w:tcPr>
            <w:tcW w:type="dxa" w:w="2177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Braço</w:t>
            </w:r>
          </w:p>
        </w:tc>
        <w:tc>
          <w:tcPr>
            <w:tcW w:type="dxa" w:w="136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Eventos</w:t>
            </w:r>
          </w:p>
        </w:tc>
        <w:tc>
          <w:tcPr>
            <w:tcW w:type="dxa" w:w="1542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Conversões</w:t>
            </w:r>
          </w:p>
        </w:tc>
        <w:tc>
          <w:tcPr>
            <w:tcW w:type="dxa" w:w="145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Conversão</w:t>
            </w:r>
          </w:p>
        </w:tc>
        <w:tc>
          <w:tcPr>
            <w:tcW w:type="dxa" w:w="2540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IC 95% (Wilson)</w:t>
            </w:r>
          </w:p>
        </w:tc>
      </w:tr>
      <w:tr>
        <w:tc>
          <w:tcPr>
            <w:tcW w:type="dxa" w:w="217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cellular | mid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15.964</w:t>
            </w:r>
          </w:p>
        </w:tc>
        <w:tc>
          <w:tcPr>
            <w:tcW w:type="dxa" w:w="154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2.469</w:t>
            </w:r>
          </w:p>
        </w:tc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15,47%</w:t>
            </w:r>
          </w:p>
        </w:tc>
        <w:tc>
          <w:tcPr>
            <w:tcW w:type="dxa" w:w="2540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[14,91%; 16,04%]</w:t>
            </w:r>
          </w:p>
        </w:tc>
      </w:tr>
      <w:tr>
        <w:tc>
          <w:tcPr>
            <w:tcW w:type="dxa" w:w="217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cellular | late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4.645</w:t>
            </w:r>
          </w:p>
        </w:tc>
        <w:tc>
          <w:tcPr>
            <w:tcW w:type="dxa" w:w="154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676</w:t>
            </w:r>
          </w:p>
        </w:tc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14,55%</w:t>
            </w:r>
          </w:p>
        </w:tc>
        <w:tc>
          <w:tcPr>
            <w:tcW w:type="dxa" w:w="2540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[13,57%; 15,60%]</w:t>
            </w:r>
          </w:p>
        </w:tc>
      </w:tr>
      <w:tr>
        <w:tc>
          <w:tcPr>
            <w:tcW w:type="dxa" w:w="217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cellular | early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5.535</w:t>
            </w:r>
          </w:p>
        </w:tc>
        <w:tc>
          <w:tcPr>
            <w:tcW w:type="dxa" w:w="154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708</w:t>
            </w:r>
          </w:p>
        </w:tc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12,79%</w:t>
            </w:r>
          </w:p>
        </w:tc>
        <w:tc>
          <w:tcPr>
            <w:tcW w:type="dxa" w:w="2540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[11,94%; 13,70%]</w:t>
            </w:r>
          </w:p>
        </w:tc>
      </w:tr>
      <w:tr>
        <w:tc>
          <w:tcPr>
            <w:tcW w:type="dxa" w:w="217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telephone | mid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8.883</w:t>
            </w:r>
          </w:p>
        </w:tc>
        <w:tc>
          <w:tcPr>
            <w:tcW w:type="dxa" w:w="154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478</w:t>
            </w:r>
          </w:p>
        </w:tc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5,38%</w:t>
            </w:r>
          </w:p>
        </w:tc>
        <w:tc>
          <w:tcPr>
            <w:tcW w:type="dxa" w:w="2540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[4,93%; 5,87%]</w:t>
            </w:r>
          </w:p>
        </w:tc>
      </w:tr>
      <w:tr>
        <w:tc>
          <w:tcPr>
            <w:tcW w:type="dxa" w:w="217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telephone | late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3.182</w:t>
            </w:r>
          </w:p>
        </w:tc>
        <w:tc>
          <w:tcPr>
            <w:tcW w:type="dxa" w:w="154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170</w:t>
            </w:r>
          </w:p>
        </w:tc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5,34%</w:t>
            </w:r>
          </w:p>
        </w:tc>
        <w:tc>
          <w:tcPr>
            <w:tcW w:type="dxa" w:w="2540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[4,61%; 6,18%]</w:t>
            </w:r>
          </w:p>
        </w:tc>
      </w:tr>
      <w:tr>
        <w:tc>
          <w:tcPr>
            <w:tcW w:type="dxa" w:w="217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telephone | early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2.979</w:t>
            </w:r>
          </w:p>
        </w:tc>
        <w:tc>
          <w:tcPr>
            <w:tcW w:type="dxa" w:w="154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139</w:t>
            </w:r>
          </w:p>
        </w:tc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4,67%</w:t>
            </w:r>
          </w:p>
        </w:tc>
        <w:tc>
          <w:tcPr>
            <w:tcW w:type="dxa" w:w="2540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[3,97%; 5,48%]</w:t>
            </w:r>
          </w:p>
        </w:tc>
      </w:tr>
    </w:tbl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Método: avaliação em duas camadas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Avaliar uma política que nunca foi ao ar, usando apenas o log de outra, é um problema com nome: off-policy evaluation. Existem duas famílias de estimadores, com fraquezas opostas, e usamos as duas.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1451"/>
        <w:gridCol w:w="2721"/>
        <w:gridCol w:w="2449"/>
        <w:gridCol w:w="2449"/>
      </w:tblGrid>
      <w:tr>
        <w:tc>
          <w:tcPr>
            <w:tcW w:type="dxa" w:w="145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Track</w:t>
            </w:r>
          </w:p>
        </w:tc>
        <w:tc>
          <w:tcPr>
            <w:tcW w:type="dxa" w:w="272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Método</w:t>
            </w:r>
          </w:p>
        </w:tc>
        <w:tc>
          <w:tcPr>
            <w:tcW w:type="dxa" w:w="244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Força</w:t>
            </w:r>
          </w:p>
        </w:tc>
        <w:tc>
          <w:tcPr>
            <w:tcW w:type="dxa" w:w="244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Fraqueza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— principal</w:t>
            </w:r>
          </w:p>
        </w:tc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Ambiente calibrado (Direct Method): modelo estima a recompensa de cada braço</w:t>
            </w:r>
          </w:p>
        </w:tc>
        <w:tc>
          <w:tcPr>
            <w:tcW w:type="dxa" w:w="24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Baixa variância; permite medir regret contra oráculo</w:t>
            </w:r>
          </w:p>
        </w:tc>
        <w:tc>
          <w:tcPr>
            <w:tcW w:type="dxa" w:w="24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Herda o viés do modelo de recompensa</w:t>
            </w:r>
          </w:p>
        </w:tc>
      </w:tr>
      <w:tr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 — validação</w:t>
            </w:r>
          </w:p>
        </w:tc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Replay por rejection sampling (Li et al., WSDM 2011)</w:t>
            </w:r>
          </w:p>
        </w:tc>
        <w:tc>
          <w:tcPr>
            <w:tcW w:type="dxa" w:w="24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Usa apenas recompensa observada; nenhum modelo no caminho</w:t>
            </w:r>
          </w:p>
        </w:tc>
        <w:tc>
          <w:tcPr>
            <w:tcW w:type="dxa" w:w="24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Descarta 61% a 83% do log; alta variância</w:t>
            </w:r>
          </w:p>
        </w:tc>
      </w:tr>
    </w:tbl>
    <w:p>
      <w:pPr>
        <w:spacing w:after="16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Como as fraquezas são complementares, concordância entre os dois é evidência forte; divergência é achado, não ruído a esconder.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Os três portões de qualidade do ambiente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ambiente do track A só é liberado após três verificações. Falhando qualquer uma, o pipeline levanta exceção em vez de prosseguir.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Calibração, global e por braço.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Brier 0,0860 com skill de 0,141 sobre a taxa-base; desvio máximo entre previsto e observado de 0,96 p.p. no pior braço. A verificação é por braço porque um total bom esconde braço de baixo volume mal calibrado.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Sanity check.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AUC 0,7413 contra 0,7274 de uma regressão logística. Ganho pequeno, mas real.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Sobreposição (positividade).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Um modelo P(braço | contexto) verifica se todo braço tem suporte na região do contexto. Para cerca de 96% dos clientes há interpolação legítima; nos 4% restantes, os braços de telefone fixo são extrapolação — e isso está declarado.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O teto do ganho contextual, medido antes das políticas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Antes de implementar qualquer política, medimos quanto a personalização poderia render: comparamos o melhor braço fixo com um oráculo que escolhe o braço ideal cliente a cliente.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5623"/>
        <w:gridCol w:w="3447"/>
      </w:tblGrid>
      <w:tr>
        <w:tc>
          <w:tcPr>
            <w:tcW w:type="dxa" w:w="562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Melhor braço fixo (cellular | mid)</w:t>
            </w:r>
          </w:p>
        </w:tc>
        <w:tc>
          <w:tcPr>
            <w:tcW w:type="dxa" w:w="3447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13,37%</w:t>
            </w:r>
          </w:p>
        </w:tc>
      </w:tr>
      <w:tr>
        <w:tc>
          <w:tcPr>
            <w:tcW w:type="dxa" w:w="562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Oráculo contextual</w:t>
            </w:r>
          </w:p>
        </w:tc>
        <w:tc>
          <w:tcPr>
            <w:tcW w:type="dxa" w:w="344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13,97%</w:t>
            </w:r>
          </w:p>
        </w:tc>
      </w:tr>
      <w:tr>
        <w:tc>
          <w:tcPr>
            <w:tcW w:type="dxa" w:w="562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Ganho máximo teórico</w:t>
            </w:r>
          </w:p>
        </w:tc>
        <w:tc>
          <w:tcPr>
            <w:tcW w:type="dxa" w:w="344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+0,59 p.p.  (+4,44%)</w:t>
            </w:r>
          </w:p>
        </w:tc>
      </w:tr>
      <w:tr>
        <w:tc>
          <w:tcPr>
            <w:tcW w:type="dxa" w:w="562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Clientes cujo braço ótimo difere do global</w:t>
            </w:r>
          </w:p>
        </w:tc>
        <w:tc>
          <w:tcPr>
            <w:tcW w:type="dxa" w:w="344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47,43%</w:t>
            </w:r>
          </w:p>
        </w:tc>
      </w:tr>
    </w:tbl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Quase metade dos clientes tem outro braço ótimo, mas o ganho total é de meio ponto percentual: as trocas ocorrem quase todas entre braços de probabilidade praticamente igual. Esse número determina o que qualquer política contextual pode disputar, e volta na leitura dos resultados.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Resultados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Sete políticas, 20.000 rodadas por episódio, 10 seeds cada, com intervalo de confiança de 95% calculado entre seeds. O baseline é a política de log: a mistura de braços que a campanha de fato executou.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3084"/>
        <w:gridCol w:w="1179"/>
        <w:gridCol w:w="1905"/>
        <w:gridCol w:w="1361"/>
        <w:gridCol w:w="1542"/>
      </w:tblGrid>
      <w:tr>
        <w:tc>
          <w:tcPr>
            <w:tcW w:type="dxa" w:w="308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Política</w:t>
            </w:r>
          </w:p>
        </w:tc>
        <w:tc>
          <w:tcPr>
            <w:tcW w:type="dxa" w:w="117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CVR</w:t>
            </w:r>
          </w:p>
        </w:tc>
        <w:tc>
          <w:tcPr>
            <w:tcW w:type="dxa" w:w="1905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IC 95%</w:t>
            </w:r>
          </w:p>
        </w:tc>
        <w:tc>
          <w:tcPr>
            <w:tcW w:type="dxa" w:w="136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Uplift</w:t>
            </w:r>
          </w:p>
        </w:tc>
        <w:tc>
          <w:tcPr>
            <w:tcW w:type="dxa" w:w="1542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Exploração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FixedArm [cellular | mid]</w:t>
            </w:r>
          </w:p>
        </w:tc>
        <w:tc>
          <w:tcPr>
            <w:tcW w:type="dxa" w:w="117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13,31%</w:t>
            </w:r>
          </w:p>
        </w:tc>
        <w:tc>
          <w:tcPr>
            <w:tcW w:type="dxa" w:w="190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[13,14; 13,47]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+20,85%</w:t>
            </w:r>
          </w:p>
        </w:tc>
        <w:tc>
          <w:tcPr>
            <w:tcW w:type="dxa" w:w="154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0,0%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ThompsonSampling [1.13, 8.87]</w:t>
            </w:r>
          </w:p>
        </w:tc>
        <w:tc>
          <w:tcPr>
            <w:tcW w:type="dxa" w:w="117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13,01%</w:t>
            </w:r>
          </w:p>
        </w:tc>
        <w:tc>
          <w:tcPr>
            <w:tcW w:type="dxa" w:w="190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[12,84; 13,18]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+18,16%</w:t>
            </w:r>
          </w:p>
        </w:tc>
        <w:tc>
          <w:tcPr>
            <w:tcW w:type="dxa" w:w="154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23,0%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EpsilonGreedy [ε = 0,05]</w:t>
            </w:r>
          </w:p>
        </w:tc>
        <w:tc>
          <w:tcPr>
            <w:tcW w:type="dxa" w:w="117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12,88%</w:t>
            </w:r>
          </w:p>
        </w:tc>
        <w:tc>
          <w:tcPr>
            <w:tcW w:type="dxa" w:w="190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[12,55; 13,20]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+16,95%</w:t>
            </w:r>
          </w:p>
        </w:tc>
        <w:tc>
          <w:tcPr>
            <w:tcW w:type="dxa" w:w="154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16,1%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ThompsonSampling [1, 1]</w:t>
            </w:r>
          </w:p>
        </w:tc>
        <w:tc>
          <w:tcPr>
            <w:tcW w:type="dxa" w:w="117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12,81%</w:t>
            </w:r>
          </w:p>
        </w:tc>
        <w:tc>
          <w:tcPr>
            <w:tcW w:type="dxa" w:w="190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[12,56; 13,06]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+16,36%</w:t>
            </w:r>
          </w:p>
        </w:tc>
        <w:tc>
          <w:tcPr>
            <w:tcW w:type="dxa" w:w="154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38,0%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UCB1 [c = 0,25]</w:t>
            </w:r>
          </w:p>
        </w:tc>
        <w:tc>
          <w:tcPr>
            <w:tcW w:type="dxa" w:w="117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12,70%</w:t>
            </w:r>
          </w:p>
        </w:tc>
        <w:tc>
          <w:tcPr>
            <w:tcW w:type="dxa" w:w="190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[12,50; 12,91]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+15,38%</w:t>
            </w:r>
          </w:p>
        </w:tc>
        <w:tc>
          <w:tcPr>
            <w:tcW w:type="dxa" w:w="154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41,7%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LinTS [v = 0,05]</w:t>
            </w:r>
          </w:p>
        </w:tc>
        <w:tc>
          <w:tcPr>
            <w:tcW w:type="dxa" w:w="117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12,41%</w:t>
            </w:r>
          </w:p>
        </w:tc>
        <w:tc>
          <w:tcPr>
            <w:tcW w:type="dxa" w:w="190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[12,24; 12,58]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+12,69%</w:t>
            </w:r>
          </w:p>
        </w:tc>
        <w:tc>
          <w:tcPr>
            <w:tcW w:type="dxa" w:w="154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59,5%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LoggingPolicy (baseline)</w:t>
            </w:r>
          </w:p>
        </w:tc>
        <w:tc>
          <w:tcPr>
            <w:tcW w:type="dxa" w:w="117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11,01%</w:t>
            </w:r>
          </w:p>
        </w:tc>
        <w:tc>
          <w:tcPr>
            <w:tcW w:type="dxa" w:w="190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[10,83; 11,19]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4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61,3%</w:t>
            </w:r>
          </w:p>
        </w:tc>
      </w:tr>
    </w:tbl>
    <w:p>
      <w:pPr>
        <w:spacing w:after="120" w:before="12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Todas as políticas adaptativas superam o baseline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com intervalos que não se sobrepõem ao dele. O requisito central da Etapa 3 está cumprido e medido.</w:t>
      </w:r>
    </w:p>
    <w:p>
      <w:pPr>
        <w:spacing w:after="60" w:before="140"/>
        <w:jc w:val="center"/>
      </w:pPr>
      <w:r>
        <w:drawing>
          <wp:inline distT="0" distB="0" distL="0" distR="0">
            <wp:extent cx="3667125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 — Conversão acumulada ao longo de 20.000 rodadas, média de 10 seeds.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Três leituras que os números impõem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prior informado vence o uniforme.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Beta(1,13, 8,87) codifica a taxa-base de 11,27% com a força de dez observações, e rende 13,01% contra 12,81% do Beta(1, 1). O motivo aparece na coluna de exploração — 23,0% contra 38,0%: partir de uma crença calibrada poupa exatamente as rodadas que o prior uniforme gasta descobrindo que nenhum braço converte a 50%.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braço fixo vence todas as adaptativas, e isso era esperado.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 ambiente é estacionário e tem um braço dominante, então cravar nele é a jogada ótima por construção. As adaptativas pagam exploração para descobrir esse braço; a política fixa já começa sabendo — mas só sabe porque a análise do log inteiro foi feita antes. Ela é o teto de um oráculo estacionário, não uma alternativa disponível no dia zero.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política contextual não se paga.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LinTS fica em 12,41%, abaixo da Thompson não-contextual, com 59,5% de exploração ainda ao fim do horizonte. A explicação está no teto medido na seção 3: há apenas +4,44% de ganho contextual disponível, e capturá-lo exige estimar 41 features × 6 braços = 246 parâmetros a partir de recompensa binária que ocorre uma vez a cada nove. O custo de exploração excede o prêmio.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Isso não é defeito de implementação: um teste automatizado roda a mesma LinTS num ambiente onde o braço ótimo depende do cliente, e lá ela supera a Thompson comum. A máquina detecta heterogeneidade quando ela existe — nestes dados, o efeito do braço é quase todo não-contextual.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Análise de exploração × conversão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Cada política foi calibrada por varredura de hiperparâmetro sobre o ambiente. O UCB1 mostra o comportamento mais instrutivo: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1995"/>
        <w:gridCol w:w="1361"/>
        <w:gridCol w:w="1361"/>
        <w:gridCol w:w="1451"/>
        <w:gridCol w:w="1451"/>
        <w:gridCol w:w="1451"/>
      </w:tblGrid>
      <w:tr>
        <w:tc>
          <w:tcPr>
            <w:tcW w:type="dxa" w:w="1995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UCB1 — c</w:t>
            </w:r>
          </w:p>
        </w:tc>
        <w:tc>
          <w:tcPr>
            <w:tcW w:type="dxa" w:w="136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0,05</w:t>
            </w:r>
          </w:p>
        </w:tc>
        <w:tc>
          <w:tcPr>
            <w:tcW w:type="dxa" w:w="136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0,10</w:t>
            </w:r>
          </w:p>
        </w:tc>
        <w:tc>
          <w:tcPr>
            <w:tcW w:type="dxa" w:w="145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0,25</w:t>
            </w:r>
          </w:p>
        </w:tc>
        <w:tc>
          <w:tcPr>
            <w:tcW w:type="dxa" w:w="145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0,50</w:t>
            </w:r>
          </w:p>
        </w:tc>
        <w:tc>
          <w:tcPr>
            <w:tcW w:type="dxa" w:w="145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1,00</w:t>
            </w:r>
          </w:p>
        </w:tc>
      </w:tr>
      <w:tr>
        <w:tc>
          <w:tcPr>
            <w:tcW w:type="dxa" w:w="199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Conversão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11,00%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12,42%</w:t>
            </w:r>
          </w:p>
        </w:tc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12,74%</w:t>
            </w:r>
          </w:p>
        </w:tc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12,18%</w:t>
            </w:r>
          </w:p>
        </w:tc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11,58%</w:t>
            </w:r>
          </w:p>
        </w:tc>
      </w:tr>
      <w:tr>
        <w:tc>
          <w:tcPr>
            <w:tcW w:type="dxa" w:w="199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Exploração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18,4%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10,8%</w:t>
            </w:r>
          </w:p>
        </w:tc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43,0%</w:t>
            </w:r>
          </w:p>
        </w:tc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51,6%</w:t>
            </w:r>
          </w:p>
        </w:tc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68,2%</w:t>
            </w:r>
          </w:p>
        </w:tc>
      </w:tr>
    </w:tbl>
    <w:p>
      <w:pPr>
        <w:spacing w:after="120" w:before="12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c = 1,0 do livro-texto é o pior valor testado.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 bônus √(2·ln t / n) foi desenhado para recompensa em toda a faixa [0, 1], mas aqui as médias vivem entre 5% e 15%: o bônus domina o sinal e a política nunca se decide. Com c = 0,05 acontece o oposto — explora de menos, trava cedo e fica em 11,00%.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Validação independente: replay sobre o log real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Tudo na seção 4 vem do ambiente calibrado, que é um modelo. A crítica — “vocês testaram a política contra a própria estimativa” — é justa, e o track C existe para respondê-la com evidência. O método percorre o log real e só contabiliza o evento quando a política escolhe exatamente o braço que foi jogado; a recompensa é o desfecho observado, nunca estimado.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3084"/>
        <w:gridCol w:w="1542"/>
        <w:gridCol w:w="1723"/>
        <w:gridCol w:w="1361"/>
        <w:gridCol w:w="1361"/>
      </w:tblGrid>
      <w:tr>
        <w:tc>
          <w:tcPr>
            <w:tcW w:type="dxa" w:w="308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Política</w:t>
            </w:r>
          </w:p>
        </w:tc>
        <w:tc>
          <w:tcPr>
            <w:tcW w:type="dxa" w:w="1542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Ambiente</w:t>
            </w:r>
          </w:p>
        </w:tc>
        <w:tc>
          <w:tcPr>
            <w:tcW w:type="dxa" w:w="172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Replay (IPS)</w:t>
            </w:r>
          </w:p>
        </w:tc>
        <w:tc>
          <w:tcPr>
            <w:tcW w:type="dxa" w:w="136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Posição A</w:t>
            </w:r>
          </w:p>
        </w:tc>
        <w:tc>
          <w:tcPr>
            <w:tcW w:type="dxa" w:w="136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Posição C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FixedArm [cellular | mid]</w:t>
            </w:r>
          </w:p>
        </w:tc>
        <w:tc>
          <w:tcPr>
            <w:tcW w:type="dxa" w:w="154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13,31%</w:t>
            </w:r>
          </w:p>
        </w:tc>
        <w:tc>
          <w:tcPr>
            <w:tcW w:type="dxa" w:w="172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14,00%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ThompsonSampling [1.13, 8.87]</w:t>
            </w:r>
          </w:p>
        </w:tc>
        <w:tc>
          <w:tcPr>
            <w:tcW w:type="dxa" w:w="154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13,01%</w:t>
            </w:r>
          </w:p>
        </w:tc>
        <w:tc>
          <w:tcPr>
            <w:tcW w:type="dxa" w:w="172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12,37%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EpsilonGreedy</w:t>
            </w:r>
          </w:p>
        </w:tc>
        <w:tc>
          <w:tcPr>
            <w:tcW w:type="dxa" w:w="154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12,88%</w:t>
            </w:r>
          </w:p>
        </w:tc>
        <w:tc>
          <w:tcPr>
            <w:tcW w:type="dxa" w:w="172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13,50%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ThompsonSampling [1, 1]</w:t>
            </w:r>
          </w:p>
        </w:tc>
        <w:tc>
          <w:tcPr>
            <w:tcW w:type="dxa" w:w="154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12,81%</w:t>
            </w:r>
          </w:p>
        </w:tc>
        <w:tc>
          <w:tcPr>
            <w:tcW w:type="dxa" w:w="172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12,55%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UCB1</w:t>
            </w:r>
          </w:p>
        </w:tc>
        <w:tc>
          <w:tcPr>
            <w:tcW w:type="dxa" w:w="154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12,70%</w:t>
            </w:r>
          </w:p>
        </w:tc>
        <w:tc>
          <w:tcPr>
            <w:tcW w:type="dxa" w:w="172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12,07%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LinTS</w:t>
            </w:r>
          </w:p>
        </w:tc>
        <w:tc>
          <w:tcPr>
            <w:tcW w:type="dxa" w:w="154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12,41%</w:t>
            </w:r>
          </w:p>
        </w:tc>
        <w:tc>
          <w:tcPr>
            <w:tcW w:type="dxa" w:w="172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11,27%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36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LoggingPolicy (baseline)</w:t>
            </w:r>
          </w:p>
        </w:tc>
        <w:tc>
          <w:tcPr>
            <w:tcW w:type="dxa" w:w="154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11,01%</w:t>
            </w:r>
          </w:p>
        </w:tc>
        <w:tc>
          <w:tcPr>
            <w:tcW w:type="dxa" w:w="172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11,48%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36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</w:tr>
    </w:tbl>
    <w:p>
      <w:pPr>
        <w:spacing w:after="120" w:before="12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Correlação de Spearman entre os rankings: 0,857.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Os dois métodos ordenam as políticas de forma quase idêntica, apesar de um simular 20.000 decisões contra um modelo e o outro peneirar 8.238 linhas de log real. O ambiente calibrado não está fabricando o ranking.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 triangulação que fecha o argumento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caso mais instrutivo é o da política de braço fixo, porque três estimativas independentes convergem: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6349"/>
        <w:gridCol w:w="2721"/>
      </w:tblGrid>
      <w:tr>
        <w:tc>
          <w:tcPr>
            <w:tcW w:type="dxa" w:w="634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Replay cru (apenas os eventos cellular | mid do log)</w:t>
            </w:r>
          </w:p>
        </w:tc>
        <w:tc>
          <w:tcPr>
            <w:tcW w:type="dxa" w:w="272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15,47%</w:t>
            </w:r>
          </w:p>
        </w:tc>
      </w:tr>
      <w:tr>
        <w:tc>
          <w:tcPr>
            <w:tcW w:type="dxa" w:w="63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Replay corrigido por propensão inversa (IPS)</w:t>
            </w:r>
          </w:p>
        </w:tc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14,00%</w:t>
            </w:r>
          </w:p>
        </w:tc>
      </w:tr>
      <w:tr>
        <w:tc>
          <w:tcPr>
            <w:tcW w:type="dxa" w:w="63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Ambiente calibrado</w:t>
            </w:r>
          </w:p>
        </w:tc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13,31%</w:t>
            </w:r>
          </w:p>
        </w:tc>
      </w:tr>
    </w:tbl>
    <w:p>
      <w:pPr>
        <w:spacing w:after="14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replay cru é otimista por seleção: quem recebeu cellular | mid não era recorte aleatório, pois a operação escolhia quem contatar. A ponderação por propensão inversa corrige boa parte disso e move a estimativa três quartos do caminho até o número do ambiente, que corrige o resto por modelagem. Dois métodos sem premissa comum chegando ao mesmo lugar é a evidência mais forte deste trabalho.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Onde os tracks discordam.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vantagem do prior informado não se replica: 2º lugar no ambiente, 4º no replay. O que reproduz nos dois é a diferença de exploração — o prior acelera a convergência, mas o efeito sobre a conversão final está dentro do ruído. E a LinTS cai para último no replay, abaixo do baseline: é a segunda evidência independente, por caminho que não passa por modelo algum, de que a política contextual não entrega nestes dados.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Casos de teste: o Golden Set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Cinco clientes do conjunto de teste, escolhidos por critério e não sorteados — cinco clientes médios receberiam a mesma resposta e a tabela nada provaria. As probabilidades são do modelo de recompensa calibrado.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1497"/>
        <w:gridCol w:w="1497"/>
        <w:gridCol w:w="793"/>
        <w:gridCol w:w="793"/>
        <w:gridCol w:w="793"/>
        <w:gridCol w:w="793"/>
        <w:gridCol w:w="793"/>
        <w:gridCol w:w="793"/>
        <w:gridCol w:w="1321"/>
      </w:tblGrid>
      <w:tr>
        <w:tc>
          <w:tcPr>
            <w:tcW w:type="dxa" w:w="1497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Critério</w:t>
            </w:r>
          </w:p>
        </w:tc>
        <w:tc>
          <w:tcPr>
            <w:tcW w:type="dxa" w:w="1497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Perfil</w:t>
            </w:r>
          </w:p>
        </w:tc>
        <w:tc>
          <w:tcPr>
            <w:tcW w:type="dxa" w:w="7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cel|early</w:t>
            </w:r>
          </w:p>
        </w:tc>
        <w:tc>
          <w:tcPr>
            <w:tcW w:type="dxa" w:w="7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cel|late</w:t>
            </w:r>
          </w:p>
        </w:tc>
        <w:tc>
          <w:tcPr>
            <w:tcW w:type="dxa" w:w="7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cel|mid</w:t>
            </w:r>
          </w:p>
        </w:tc>
        <w:tc>
          <w:tcPr>
            <w:tcW w:type="dxa" w:w="7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tel|early</w:t>
            </w:r>
          </w:p>
        </w:tc>
        <w:tc>
          <w:tcPr>
            <w:tcW w:type="dxa" w:w="7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tel|late</w:t>
            </w:r>
          </w:p>
        </w:tc>
        <w:tc>
          <w:tcPr>
            <w:tcW w:type="dxa" w:w="7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tel|mid</w:t>
            </w:r>
          </w:p>
        </w:tc>
        <w:tc>
          <w:tcPr>
            <w:tcW w:type="dxa" w:w="132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Recomendado</w:t>
            </w:r>
          </w:p>
        </w:tc>
      </w:tr>
      <w:tr>
        <w:tc>
          <w:tcPr>
            <w:tcW w:type="dxa" w:w="149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Sem histórico</w:t>
            </w:r>
          </w:p>
        </w:tc>
        <w:tc>
          <w:tcPr>
            <w:tcW w:type="dxa" w:w="149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32a, empresário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8,98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8,83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10,82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4,05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5,72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4,87</w:t>
            </w:r>
          </w:p>
        </w:tc>
        <w:tc>
          <w:tcPr>
            <w:tcW w:type="dxa" w:w="13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cellular|mid</w:t>
            </w:r>
          </w:p>
        </w:tc>
      </w:tr>
      <w:tr>
        <w:tc>
          <w:tcPr>
            <w:tcW w:type="dxa" w:w="149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Converteu antes</w:t>
            </w:r>
          </w:p>
        </w:tc>
        <w:tc>
          <w:tcPr>
            <w:tcW w:type="dxa" w:w="149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23a, admin.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51,43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71,11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71,11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71,11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71,11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71,11</w:t>
            </w:r>
          </w:p>
        </w:tc>
        <w:tc>
          <w:tcPr>
            <w:tcW w:type="dxa" w:w="13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empate</w:t>
            </w:r>
          </w:p>
        </w:tc>
      </w:tr>
      <w:tr>
        <w:tc>
          <w:tcPr>
            <w:tcW w:type="dxa" w:w="149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Muitos contatos</w:t>
            </w:r>
          </w:p>
        </w:tc>
        <w:tc>
          <w:tcPr>
            <w:tcW w:type="dxa" w:w="149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49a, técnico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7,51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7,36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6,44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7,50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5,39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4,05</w:t>
            </w:r>
          </w:p>
        </w:tc>
        <w:tc>
          <w:tcPr>
            <w:tcW w:type="dxa" w:w="13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empate no topo</w:t>
            </w:r>
          </w:p>
        </w:tc>
      </w:tr>
      <w:tr>
        <w:tc>
          <w:tcPr>
            <w:tcW w:type="dxa" w:w="149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Perfil mediano</w:t>
            </w:r>
          </w:p>
        </w:tc>
        <w:tc>
          <w:tcPr>
            <w:tcW w:type="dxa" w:w="149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31a, doméstica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10,89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9,66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11,29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4,33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5,71</w:t>
            </w:r>
          </w:p>
        </w:tc>
        <w:tc>
          <w:tcPr>
            <w:tcW w:type="dxa" w:w="7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6,17</w:t>
            </w:r>
          </w:p>
        </w:tc>
        <w:tc>
          <w:tcPr>
            <w:tcW w:type="dxa" w:w="13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cellular|mid</w:t>
            </w:r>
          </w:p>
        </w:tc>
      </w:tr>
      <w:tr>
        <w:tc>
          <w:tcPr>
            <w:tcW w:type="dxa" w:w="149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Troca de braço</w:t>
            </w:r>
          </w:p>
        </w:tc>
        <w:tc>
          <w:tcPr>
            <w:tcW w:type="dxa" w:w="149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18a, estudante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45,44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50,87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44,85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22,00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33,48</w:t>
            </w:r>
          </w:p>
        </w:tc>
        <w:tc>
          <w:tcPr>
            <w:tcW w:type="dxa" w:w="7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12,82</w:t>
            </w:r>
          </w:p>
        </w:tc>
        <w:tc>
          <w:tcPr>
            <w:tcW w:type="dxa" w:w="13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cellular|late</w:t>
            </w:r>
          </w:p>
        </w:tc>
      </w:tr>
    </w:tbl>
    <w:p>
      <w:pPr>
        <w:spacing w:after="100" w:before="14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decisão fez sentido em todos os cinco, e três deles rendem observações que vão além do acerto: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Empate honesto.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Para o cliente que já converteu, cinco braços empatam em 71,11%. Não é coincidência: a calibração isotônica é uma função em degraus, e clientes de alta propensão caem no mesmo patamar. O sistema sinaliza o empate em vez de fingir preferência — a decisão correta ali é escolher pelo custo do canal.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Recomendação por exclusão.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No cliente com seis contatos prévios, os dois primeiros braços empatam entre si mas superam cellular | mid em 1,07 p.p. A orientação útil é o que não fazer: sair do braço que é melhor na média. Note que telephone | early aparece no topo — para quem já cansou de ligações no celular, o canal alternativo deixa de ser inferior.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Personalização que vale.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No estudante de 18 anos, cellular | late rende 50,87% contra 44,85% de cellular | mid: a troca vale 6,01 p.p., e entre o melhor e o pior braço há 38 p.p.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Três dos cinco casos são empates — e isso é precisamente o teto contextual de +4,44% manifestando-se cliente a cliente: na maioria dos perfis os braços do topo são indistinguíveis; numa minoria, a escolha vale dezenas de pontos percentuais.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Engenharia: serviço, rastreio e arquitetura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Serviço demonstrável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API em FastAPI carrega o ambiente serializado e pontua os seis braços para o cliente que chega na requisição. Devolve o ranking completo — não apenas o vencedor — mais um sinalizador de empate, porque nesta base os braços do topo empatam com frequência e entregar só o vencedor venderia precisão inexistente.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Validação na porta.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Categóricas são tipadas como literais: um nível desconhecido é recusado com HTTP 422 nomeando os valores válidos, em vez de chegar ao encoder e virar silenciosamente um vetor de zeros — que produziria recomendação plausível a partir de dado inválido.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Coluna proibida fora do contrato.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duration não aparece nem na requisição, verificado por teste sobre a especificação OpenAPI. O parâmetro explore aplica ε-greedy e marca a resposta quando a escolha veio de exploração.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Imagem enxuta.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508 MB, multi-stage, usuário sem privilégios, com healthcheck. Instala 9 pacotes contra os 17 do desenvolvimento — MLflow, matplotlib e ferramentas de teste não entram num container que apenas pontua clientes.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Rastreio de experimentos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Cada política gera um run pai no MLflow com média e intervalo entre seeds, e um run filho por seed — 77 no total: a média fica citável e cada seed permanece auditável. Registram-se política, hiperparâmetros, rodadas, seeds e braços; como métricas, conversão com intervalo, regret, uplift e taxa de exploração.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Arquitetura-alvo em nuvem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imagem vai para o ECR e roda em ECS Fargate atrás de um Application Load Balancer, com duas réplicas em zonas distintas e escala automática por CPU. O S3 guarda dataset tratado, ambiente calibrado e runs do MLflow, versionado para permitir retorno a um modelo anterior sem retreinar. A parte que não é infraestrutura genérica é o caminho de volta: decisão servida e desfecho observado vão para um Kinesis Firehose que entrega no S3 particionado por dia, e as posteriores de cada braço vivem numa tabela DynamoDB.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Junto vem um alarme que uma API comum não tem: queda da conversão observada abaixo da taxa-base histórica. CPU e latência podem estar perfeitas enquanto a política recomenda o braço errado para todos os clientes, e somente essa métrica percebe. A infraestrutura está escrita como código em Terraform, verificada com fmt e validate — mas não aplicada.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Limitações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Esta seção condiciona a leitura de todos os números anteriores, e a apresentamos com o mesmo cuidado dedicado aos resultados.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 limitação principal: quanto do efeito de canal é calendário?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campanha não usou os dois canais simultaneamente. O primeiro quarto do log é 100% telefone fixo; a partir do segundo, o celular ultrapassa 90% do volume. No mesmo intervalo, a taxa-base de conversão sobe de 3,5% para 47%. Como o período não integra o contexto — os indicadores macroeconômicos foram excluídos justamente por serem carimbo de calendário — o ambiente atribui ao canal aquilo que pertencia à época.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Restringir a análise à janela em que ambos os canais operaram remove o calendário da comparação: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2721"/>
        <w:gridCol w:w="2177"/>
        <w:gridCol w:w="2358"/>
        <w:gridCol w:w="1814"/>
      </w:tblGrid>
      <w:tr>
        <w:tc>
          <w:tcPr>
            <w:tcW w:type="dxa" w:w="272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Braço</w:t>
            </w:r>
          </w:p>
        </w:tc>
        <w:tc>
          <w:tcPr>
            <w:tcW w:type="dxa" w:w="2177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Base completa</w:t>
            </w:r>
          </w:p>
        </w:tc>
        <w:tc>
          <w:tcPr>
            <w:tcW w:type="dxa" w:w="2358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Só na coexistência</w:t>
            </w:r>
          </w:p>
        </w:tc>
        <w:tc>
          <w:tcPr>
            <w:tcW w:type="dxa" w:w="181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Diferença</w:t>
            </w:r>
          </w:p>
        </w:tc>
      </w:tr>
      <w:tr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cellular | mid</w:t>
            </w:r>
          </w:p>
        </w:tc>
        <w:tc>
          <w:tcPr>
            <w:tcW w:type="dxa" w:w="217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15,47%</w:t>
            </w:r>
          </w:p>
        </w:tc>
        <w:tc>
          <w:tcPr>
            <w:tcW w:type="dxa" w:w="2358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15,47%</w:t>
            </w:r>
          </w:p>
        </w:tc>
        <w:tc>
          <w:tcPr>
            <w:tcW w:type="dxa" w:w="181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telephone | mid</w:t>
            </w:r>
          </w:p>
        </w:tc>
        <w:tc>
          <w:tcPr>
            <w:tcW w:type="dxa" w:w="217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5,38%</w:t>
            </w:r>
          </w:p>
        </w:tc>
        <w:tc>
          <w:tcPr>
            <w:tcW w:type="dxa" w:w="2358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12,94%</w:t>
            </w:r>
          </w:p>
        </w:tc>
        <w:tc>
          <w:tcPr>
            <w:tcW w:type="dxa" w:w="181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+7,56 p.p.</w:t>
            </w:r>
          </w:p>
        </w:tc>
      </w:tr>
      <w:tr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telephone | late</w:t>
            </w:r>
          </w:p>
        </w:tc>
        <w:tc>
          <w:tcPr>
            <w:tcW w:type="dxa" w:w="217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5,34%</w:t>
            </w:r>
          </w:p>
        </w:tc>
        <w:tc>
          <w:tcPr>
            <w:tcW w:type="dxa" w:w="2358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12,55%</w:t>
            </w:r>
          </w:p>
        </w:tc>
        <w:tc>
          <w:tcPr>
            <w:tcW w:type="dxa" w:w="181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+7,21 p.p.</w:t>
            </w:r>
          </w:p>
        </w:tc>
      </w:tr>
      <w:tr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telephone | early</w:t>
            </w:r>
          </w:p>
        </w:tc>
        <w:tc>
          <w:tcPr>
            <w:tcW w:type="dxa" w:w="217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4,67%</w:t>
            </w:r>
          </w:p>
        </w:tc>
        <w:tc>
          <w:tcPr>
            <w:tcW w:type="dxa" w:w="2358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10,43%</w:t>
            </w:r>
          </w:p>
        </w:tc>
        <w:tc>
          <w:tcPr>
            <w:tcW w:type="dxa" w:w="181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+5,76 p.p.</w:t>
            </w:r>
          </w:p>
        </w:tc>
      </w:tr>
    </w:tbl>
    <w:tbl>
      <w:tblPr>
        <w:tblW w:type="dxa" w:w="9070"/>
        <w:tblBorders>
          <w:top w:val="none" w:color="FFFFFF" w:sz="0"/>
          <w:left w:val="single" w:color="E8A33D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FFF4E5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 vantagem do celular sobre o telefone fixo é inflada 9,4 vezes pelo confounding temporal: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+181,7% medida na base completa contra +19,3% dentro da janela de coexistência. Em consequência, o uplift de +18,2% pressupõe que o efeito de canal seja causal; sob leitura conservadora, ele fica em torno de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+8% a +9%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. A decisão que a política toma permanece correta — dado o log, cellular | mid é o melhor braço — mas a magnitude exige essa ressalva.</w:t>
            </w:r>
          </w:p>
        </w:tc>
      </w:tr>
    </w:tbl>
    <w:p>
      <w:pPr>
        <w:spacing w:after="100" w:before="12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Duas correções foram testadas e descartadas, com motivo documentado. Restringir a base à coexistência tornaria a análise causalmente limpa e o resultado nulo: lá a campanha já usava celular em 90% das ligações e nenhuma política adaptativa supera o baseline. E uma regra congelada antes de o celular existir perde só +2,8% depois que ele aparece — este dataset não oferece o contraexemplo de “a regra fixa quebra quando o mundo muda”.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Demais limitações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Extrapolação nos braços de telefone fixo.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Para 3,76% e 4,37% dos clientes, telephone | early e telephone | late têm propensão abaixo de 1% — nessas regiões o ambiente prediz onde o log praticamente não observou.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Hiperparâmetros calibrados no mesmo ambiente em que são reportados.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Isso favorece as políticas adaptativas frente ao baseline, que não tem o que calibrar. A varredura completa está publicada para que o efeito seja visível em vez de embutido.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Baixa amostra efetiva no replay.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O track C descarta de 61% a 83% do log conforme a política; diferenças pequenas não são detectáveis nele.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Ambiente calibrado não é tráfego real.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Nenhum resultado offline substitui um teste em produção.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exploração da API é sem estado.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Aprendizado online de fato exige endpoint de feedback e posteriores persistidas — desenhado na infraestrutura, não implementado na aplicação.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Governança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1633"/>
        <w:gridCol w:w="7437"/>
      </w:tblGrid>
      <w:tr>
        <w:tc>
          <w:tcPr>
            <w:tcW w:type="dxa" w:w="163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Dimensão</w:t>
            </w:r>
          </w:p>
        </w:tc>
        <w:tc>
          <w:tcPr>
            <w:tcW w:type="dxa" w:w="7437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Tratamento</w:t>
            </w:r>
          </w:p>
        </w:tc>
      </w:tr>
      <w:tr>
        <w:tc>
          <w:tcPr>
            <w:tcW w:type="dxa" w:w="163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Base legal</w:t>
            </w:r>
          </w:p>
        </w:tc>
        <w:tc>
          <w:tcPr>
            <w:tcW w:type="dxa" w:w="743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Dados públicos de pesquisa acadêmica sob CC BY 4.0 — não há titular a quem responder neste escopo. Num sistema real: legítimo interesse (LGPD art. 7º, IX) para otimização de canal, com teste de proporcionalidade documentado e oposição garantida; consentimento (art. 7º, I) para marketing ativo.</w:t>
            </w:r>
          </w:p>
        </w:tc>
      </w:tr>
      <w:tr>
        <w:tc>
          <w:tcPr>
            <w:tcW w:type="dxa" w:w="163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Finalidade</w:t>
            </w:r>
          </w:p>
        </w:tc>
        <w:tc>
          <w:tcPr>
            <w:tcW w:type="dxa" w:w="743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Única e declarada: decidir por qual canal e em que janela abordar cliente já elegível. Não decide elegibilidade, não pontua risco de crédito, não define preço. Reaproveitar os modelos para negar produto ou precificar seria desvio de finalidade.</w:t>
            </w:r>
          </w:p>
        </w:tc>
      </w:tr>
      <w:tr>
        <w:tc>
          <w:tcPr>
            <w:tcW w:type="dxa" w:w="163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Minimização</w:t>
            </w:r>
          </w:p>
        </w:tc>
        <w:tc>
          <w:tcPr>
            <w:tcW w:type="dxa" w:w="743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 colunas de contexto, cada exclusão com motivo registrado: duration por vazamento; indicadores macro por serem carimbo de calendário; gênero, raça, renda e patrimônio ausentes do dataset e vedados pelo enunciado; identificadores inexistentes. O contrato da API é a fronteira — não há campo livre por onde um identificador entre.</w:t>
            </w:r>
          </w:p>
        </w:tc>
      </w:tr>
      <w:tr>
        <w:tc>
          <w:tcPr>
            <w:tcW w:type="dxa" w:w="163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Retenção</w:t>
            </w:r>
          </w:p>
        </w:tc>
        <w:tc>
          <w:tcPr>
            <w:tcW w:type="dxa" w:w="743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 de recompensas expira em 180 dias, por regra de ciclo de vida do S3 — prazo derivado da finalidade, que é a janela necessária para reavaliar política e detectar deriva. Logs de aplicação, 30 dias. Artefatos de modelo versionados sem expiração, porque reproduzir uma decisão passada exige o modelo que a produziu.</w:t>
            </w:r>
          </w:p>
        </w:tc>
      </w:tr>
      <w:tr>
        <w:tc>
          <w:tcPr>
            <w:tcW w:type="dxa" w:w="163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Humano no loop</w:t>
            </w:r>
          </w:p>
        </w:tc>
        <w:tc>
          <w:tcPr>
            <w:tcW w:type="dxa" w:w="743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recomendação é sugestão de canal, nunca ação automática sobre o cliente. Três salvaguardas: (i) a resposta sinaliza empate e orienta decidir por custo, admitindo quando não sabe; (ii) o alarme de queda de conversão notifica um humano, não dispara rollback automático — degradação de modelo pede diagnóstico; (iii) frequência de contato permanece regra de negócio, fora do modelo.</w:t>
            </w:r>
          </w:p>
        </w:tc>
      </w:tr>
    </w:tbl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Conclusão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trabalho entrega as Etapas 0 a 7 do enunciado, com 189 testes automatizados e verificação estática limpa. O requisito central — algoritmo adaptativo superando o baseline — está cumprido com folga: +18,2% sobre a política de log, sem sobreposição de intervalos e confirmado por dois métodos que não compartilham premissas. Duas contribuições nos parecem mais relevantes que esse número de manchete.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primeira é metodológica.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Medimos o teto do ganho contextual antes de assumir que personalizar valeria a pena, e ele era de apenas +4,44%. Implementamos a política contextual mesmo assim, medimos seu custo de exploração, e mostramos que nestes dados ela não se paga — validando por teste independente que a implementação detecta heterogeneidade quando esta existe. Resultado nulo com causa medida é conhecimento; resultado nulo sem explicação seria apenas uma falha.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segunda é a quantificação da própria limitação.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Descobrimos que a vantagem do canal está inflada 9,4 vezes por confounding temporal, e publicamos esse número junto ao resultado principal em vez de omiti-lo. Testamos duas correções e ambas falharam por motivos que também documentamos. O enunciado pede que o baseline sirva para mostrar “ganho ou limitação” da política adaptativa — mostramos os dois.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que este trabalho não demonstra, e convém dizer com clareza: que um bandit seria superior a uma regra fixa bem escolhida neste cenário. O ambiente é estacionário por construção e tem um braço dominante — condições sob as quais cravar nesse braço é a política ótima. O valor da abordagem adaptativa aparece quando o melhor braço muda, quando entra um braço novo ou quando não há histórico, e procuramos esse contraexemplo nos dados sem encontrá-lo.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caminho para produção está desenhado e a lacuna é conhecida: o ciclo de feedback que transformaria a exploração da API em aprendizado online real existe na infraestrutura como código, mas não na aplicação. É o próximo passo natural, e é onde a abordagem passaria a valer o que promete.</w:t>
      </w:r>
    </w:p>
    <w:p>
      <w:pPr>
        <w:spacing w:before="300"/>
      </w:pPr>
    </w:p>
    <w:p>
      <w:pPr>
        <w:spacing w:after="100" w:before="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Código, dados de reprodução, figuras e documentação completa: github.com/marianaparise/datathon-8mlet-grupo-30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Datathon 8MLET — Grupo 30  |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2018da7cd36a6639caeddd409af963387deb9d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Experimentação Adaptativa para Decisão de Canal</dc:title>
  <dc:creator>Grupo 30 — 8MLET</dc:creator>
  <dc:description>Relatório técnico — Datathon POSTECH MLET Fase 5</dc:description>
  <cp:lastModifiedBy>Un-named</cp:lastModifiedBy>
  <cp:revision>1</cp:revision>
  <dcterms:created xsi:type="dcterms:W3CDTF">2026-08-24T18:00:39.951Z</dcterms:created>
  <dcterms:modified xsi:type="dcterms:W3CDTF">2026-08-24T18:00:39.951Z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