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CU01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Ingestar y Analizar Imagen de Góndola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Motor de Visión Artificial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ind w:left="0" w:firstLine="0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sistema recibe una captura fotográfica estática de la góndola de alimentos no perecibles, aplica filtros de preprocesamiento para mitigar el ruido visual y calcula el espacio disponible (medición por nivel o evaluación de umbral).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numPr>
                <w:ilvl w:val="0"/>
                <w:numId w:val="2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La cámara IP/seguridad de la sala está activa y asociada a una góndola específica.</w:t>
            </w:r>
          </w:p>
          <w:p w:rsidR="00000000" w:rsidDel="00000000" w:rsidP="00000000" w:rsidRDefault="00000000" w:rsidRPr="00000000" w14:paraId="0000000C">
            <w:pPr>
              <w:widowControl w:val="0"/>
              <w:numPr>
                <w:ilvl w:val="0"/>
                <w:numId w:val="2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pipeline de inferencia está configurado y en ejecución.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Flujo Principa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recibe una nueva fotografía estática de la góndola.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módulo de preprocesamiento aplica normalización de iluminación y corrección de contraste.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modelo base (YOLOv8 / algoritmos de visión clásica) detecta los límites del estante y las zonas vacías.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módulo de postprocesamiento evalúa si el espacio disponible es inferior al umbral del 30% o calcula el porcentaje exacto por nivel.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registra las métricas calculadas en la base de datos de metadatos.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La métrica de disponibilidad de la góndola queda actualizada en la base de datos.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Excepción 3a (Imagen Corrupta / Baja Calidad)</w:t>
            </w:r>
            <w:r w:rsidDel="00000000" w:rsidR="00000000" w:rsidRPr="00000000">
              <w:rPr>
                <w:color w:val="1f1f1f"/>
                <w:rtl w:val="0"/>
              </w:rPr>
              <w:t xml:space="preserve">: Si la imagen presenta oclusión total o fallo de transmisión, el sistema registra un log de advertencia y solicita el reenvío de la siguiente captura sin detener el servicio.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