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tbl>
      <w:tblPr>
        <w:tblStyle w:val="Table1"/>
        <w:tblW w:w="9029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4514.5"/>
        <w:gridCol w:w="4514.5"/>
        <w:tblGridChange w:id="0">
          <w:tblGrid>
            <w:gridCol w:w="4514.5"/>
            <w:gridCol w:w="4514.5"/>
          </w:tblGrid>
        </w:tblGridChange>
      </w:tblGrid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2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1f1f1f"/>
                <w:rtl w:val="0"/>
              </w:rPr>
              <w:t xml:space="preserve">ID</w:t>
            </w:r>
            <w:r w:rsidDel="00000000" w:rsidR="00000000" w:rsidRPr="00000000">
              <w:rPr>
                <w:b w:val="1"/>
                <w:bCs w:val="1"/>
                <w:rtl w:val="0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3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color w:val="1f1f1f"/>
                <w:rtl w:val="0"/>
              </w:rPr>
              <w:t xml:space="preserve">CU05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4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1f1f1f"/>
                <w:rtl w:val="0"/>
              </w:rPr>
              <w:t xml:space="preserve">Nombre</w:t>
            </w:r>
            <w:r w:rsidDel="00000000" w:rsidR="00000000" w:rsidRPr="00000000">
              <w:rPr>
                <w:b w:val="1"/>
                <w:bCs w:val="1"/>
                <w:rtl w:val="0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5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color w:val="1f1f1f"/>
                <w:rtl w:val="0"/>
              </w:rPr>
              <w:t xml:space="preserve">Configurar Parámetros de Cámara y Umbrales</w:t>
            </w:r>
            <w:r w:rsidDel="00000000" w:rsidR="00000000" w:rsidRPr="00000000">
              <w:rPr>
                <w:rtl w:val="0"/>
              </w:rPr>
              <w:t xml:space="preserve"> 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6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1f1f1f"/>
                <w:rtl w:val="0"/>
              </w:rPr>
              <w:t xml:space="preserve">Actor Principal</w:t>
            </w:r>
            <w:r w:rsidDel="00000000" w:rsidR="00000000" w:rsidRPr="00000000">
              <w:rPr>
                <w:b w:val="1"/>
                <w:bCs w:val="1"/>
                <w:rtl w:val="0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7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color w:val="1f1f1f"/>
                <w:rtl w:val="0"/>
              </w:rPr>
              <w:t xml:space="preserve">Administrador del Sistema</w:t>
            </w:r>
            <w:r w:rsidDel="00000000" w:rsidR="00000000" w:rsidRPr="00000000">
              <w:rPr>
                <w:rtl w:val="0"/>
              </w:rPr>
              <w:t xml:space="preserve"> 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8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1f1f1f"/>
                <w:rtl w:val="0"/>
              </w:rPr>
              <w:t xml:space="preserve">Descripción</w:t>
            </w:r>
            <w:r w:rsidDel="00000000" w:rsidR="00000000" w:rsidRPr="00000000">
              <w:rPr>
                <w:b w:val="1"/>
                <w:bCs w:val="1"/>
                <w:rtl w:val="0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9">
            <w:pPr>
              <w:widowControl w:val="0"/>
              <w:spacing w:after="220" w:before="220" w:line="240" w:lineRule="auto"/>
              <w:rPr/>
            </w:pPr>
            <w:r w:rsidDel="00000000" w:rsidR="00000000" w:rsidRPr="00000000">
              <w:rPr>
                <w:color w:val="1f1f1f"/>
                <w:rtl w:val="0"/>
              </w:rPr>
              <w:t xml:space="preserve">Permite ajustar la sensibilidad del algoritmo, asignar cámaras a zonas de la tienda y definir los umbrales de quiebre.</w:t>
            </w:r>
            <w:r w:rsidDel="00000000" w:rsidR="00000000" w:rsidRPr="00000000">
              <w:rPr>
                <w:rtl w:val="0"/>
              </w:rPr>
              <w:t xml:space="preserve"> 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A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1f1f1f"/>
                <w:rtl w:val="0"/>
              </w:rPr>
              <w:t xml:space="preserve">Precondiciones</w:t>
            </w:r>
            <w:r w:rsidDel="00000000" w:rsidR="00000000" w:rsidRPr="00000000">
              <w:rPr>
                <w:b w:val="1"/>
                <w:bCs w:val="1"/>
                <w:rtl w:val="0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B">
            <w:pPr>
              <w:widowControl w:val="0"/>
              <w:numPr>
                <w:ilvl w:val="0"/>
                <w:numId w:val="1"/>
              </w:numPr>
              <w:spacing w:after="220" w:before="220" w:line="240" w:lineRule="auto"/>
              <w:ind w:left="720" w:hanging="360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color w:val="1f1f1f"/>
                <w:rtl w:val="0"/>
              </w:rPr>
              <w:t xml:space="preserve">El usuario cuenta con rol de Administrador Técnico.</w:t>
            </w:r>
          </w:p>
          <w:p w:rsidR="00000000" w:rsidDel="00000000" w:rsidP="00000000" w:rsidRDefault="00000000" w:rsidRPr="00000000" w14:paraId="0000000C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D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1f1f1f"/>
                <w:rtl w:val="0"/>
              </w:rPr>
              <w:t xml:space="preserve">Flujo Principa</w:t>
            </w:r>
            <w:r w:rsidDel="00000000" w:rsidR="00000000" w:rsidRPr="00000000">
              <w:rPr>
                <w:b w:val="1"/>
                <w:bCs w:val="1"/>
                <w:rtl w:val="0"/>
              </w:rPr>
              <w:t xml:space="preserve">l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E">
            <w:pPr>
              <w:widowControl w:val="0"/>
              <w:numPr>
                <w:ilvl w:val="0"/>
                <w:numId w:val="2"/>
              </w:numPr>
              <w:spacing w:after="0" w:afterAutospacing="0" w:before="220" w:line="240" w:lineRule="auto"/>
              <w:ind w:left="720" w:hanging="360"/>
              <w:rPr>
                <w:color w:val="1f1f1f"/>
              </w:rPr>
            </w:pPr>
            <w:r w:rsidDel="00000000" w:rsidR="00000000" w:rsidRPr="00000000">
              <w:rPr>
                <w:color w:val="1f1f1f"/>
                <w:rtl w:val="0"/>
              </w:rPr>
              <w:t xml:space="preserve">El usuario accede al panel de "Configuración del Sistema".</w:t>
            </w:r>
          </w:p>
          <w:p w:rsidR="00000000" w:rsidDel="00000000" w:rsidP="00000000" w:rsidRDefault="00000000" w:rsidRPr="00000000" w14:paraId="0000000F">
            <w:pPr>
              <w:widowControl w:val="0"/>
              <w:numPr>
                <w:ilvl w:val="0"/>
                <w:numId w:val="2"/>
              </w:numPr>
              <w:spacing w:after="0" w:afterAutospacing="0" w:before="0" w:beforeAutospacing="0" w:line="240" w:lineRule="auto"/>
              <w:ind w:left="720" w:hanging="360"/>
              <w:rPr>
                <w:color w:val="1f1f1f"/>
              </w:rPr>
            </w:pPr>
            <w:r w:rsidDel="00000000" w:rsidR="00000000" w:rsidRPr="00000000">
              <w:rPr>
                <w:color w:val="1f1f1f"/>
                <w:rtl w:val="0"/>
              </w:rPr>
              <w:t xml:space="preserve">Selecciona una cámara de sala y la asocia a una góndola de alimentos no perecibles.</w:t>
            </w:r>
          </w:p>
          <w:p w:rsidR="00000000" w:rsidDel="00000000" w:rsidP="00000000" w:rsidRDefault="00000000" w:rsidRPr="00000000" w14:paraId="00000010">
            <w:pPr>
              <w:widowControl w:val="0"/>
              <w:numPr>
                <w:ilvl w:val="0"/>
                <w:numId w:val="2"/>
              </w:numPr>
              <w:spacing w:after="0" w:afterAutospacing="0" w:before="0" w:beforeAutospacing="0" w:line="240" w:lineRule="auto"/>
              <w:ind w:left="720" w:hanging="360"/>
              <w:rPr>
                <w:color w:val="1f1f1f"/>
              </w:rPr>
            </w:pPr>
            <w:r w:rsidDel="00000000" w:rsidR="00000000" w:rsidRPr="00000000">
              <w:rPr>
                <w:color w:val="1f1f1f"/>
                <w:rtl w:val="0"/>
              </w:rPr>
              <w:t xml:space="preserve">Establece el umbral crítico (ej. 30%) y el tiempo de tolerancia para evitar falsos positivos.</w:t>
            </w:r>
          </w:p>
          <w:p w:rsidR="00000000" w:rsidDel="00000000" w:rsidP="00000000" w:rsidRDefault="00000000" w:rsidRPr="00000000" w14:paraId="00000011">
            <w:pPr>
              <w:widowControl w:val="0"/>
              <w:numPr>
                <w:ilvl w:val="0"/>
                <w:numId w:val="2"/>
              </w:numPr>
              <w:spacing w:after="220" w:before="0" w:beforeAutospacing="0" w:line="240" w:lineRule="auto"/>
              <w:ind w:left="720" w:hanging="360"/>
              <w:rPr>
                <w:color w:val="1f1f1f"/>
              </w:rPr>
            </w:pPr>
            <w:r w:rsidDel="00000000" w:rsidR="00000000" w:rsidRPr="00000000">
              <w:rPr>
                <w:color w:val="1f1f1f"/>
                <w:rtl w:val="0"/>
              </w:rPr>
              <w:t xml:space="preserve">Guarda los cambios. El sistema actualiza los parámetros en el pipeline de inferencia.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2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1f1f1f"/>
                <w:rtl w:val="0"/>
              </w:rPr>
              <w:t xml:space="preserve">Postcondiciones</w:t>
            </w:r>
            <w:r w:rsidDel="00000000" w:rsidR="00000000" w:rsidRPr="00000000">
              <w:rPr>
                <w:b w:val="1"/>
                <w:bCs w:val="1"/>
                <w:rtl w:val="0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3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color w:val="1f1f1f"/>
                <w:rtl w:val="0"/>
              </w:rPr>
              <w:t xml:space="preserve">Los nuevos parámetros quedan vigentes para las siguientes capturas.</w:t>
            </w:r>
            <w:r w:rsidDel="00000000" w:rsidR="00000000" w:rsidRPr="00000000">
              <w:rPr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4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1f1f1f"/>
                <w:rtl w:val="0"/>
              </w:rPr>
              <w:t xml:space="preserve">Excepciones</w:t>
            </w:r>
            <w:r w:rsidDel="00000000" w:rsidR="00000000" w:rsidRPr="00000000">
              <w:rPr>
                <w:b w:val="1"/>
                <w:bCs w:val="1"/>
                <w:rtl w:val="0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5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Roboto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rFonts w:ascii="Roboto" w:cs="Roboto" w:eastAsia="Roboto" w:hAnsi="Roboto"/>
        <w:color w:val="1f1f1f"/>
        <w:sz w:val="22"/>
        <w:szCs w:val="22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s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Roboto-regular.ttf"/><Relationship Id="rId2" Type="http://schemas.openxmlformats.org/officeDocument/2006/relationships/font" Target="fonts/Roboto-bold.ttf"/><Relationship Id="rId3" Type="http://schemas.openxmlformats.org/officeDocument/2006/relationships/font" Target="fonts/Roboto-italic.ttf"/><Relationship Id="rId4" Type="http://schemas.openxmlformats.org/officeDocument/2006/relationships/font" Target="fonts/Roboto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