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21725C9" w14:textId="77777777" w:rsidR="0003309E" w:rsidRDefault="0003309E" w:rsidP="0003309E">
      <w:bookmarkStart w:id="0" w:name="_GoBack"/>
      <w:bookmarkEnd w:id="0"/>
    </w:p>
    <w:p w14:paraId="5D1164C3" w14:textId="77777777" w:rsidR="0003309E" w:rsidRDefault="0003309E" w:rsidP="0003309E">
      <w:pPr>
        <w:rPr>
          <w:b/>
        </w:rPr>
      </w:pPr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9581AEC" wp14:editId="040D9366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6238875" cy="1562100"/>
                <wp:effectExtent l="0" t="0" r="0" b="0"/>
                <wp:wrapNone/>
                <wp:docPr id="27" name="Grupo 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0" y="0"/>
                          <a:chExt cx="5991225" cy="1562100"/>
                        </a:xfrm>
                      </wpg:grpSpPr>
                      <wps:wsp>
                        <wps:cNvPr id="28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671" y="299473"/>
                            <a:ext cx="4966554" cy="12626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585E57B" w14:textId="77777777" w:rsidR="0003309E" w:rsidRDefault="0003309E" w:rsidP="0003309E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2A8D66F8" w14:textId="7772022A" w:rsidR="00CE0AA8" w:rsidRPr="00231F2A" w:rsidRDefault="00CE0AA8" w:rsidP="00CE0AA8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Guía2. Desarrollo Proyecto APT </w:t>
                              </w:r>
                            </w:p>
                            <w:p w14:paraId="332AEDC3" w14:textId="5DCBCE3D" w:rsidR="0003309E" w:rsidRPr="00231F2A" w:rsidRDefault="00CE0AA8" w:rsidP="0003309E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Capstone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49" name="Rectángulo 49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9581AEC" id="Grupo 27" o:spid="_x0000_s1026" style="position:absolute;margin-left:0;margin-top:.75pt;width:491.25pt;height:123pt;z-index:251659264;mso-position-horizontal:center;mso-position-horizontal-relative:margin;mso-width-relative:margin;mso-height-relative:margin" coordsize="59912,15621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Fspt0wgMAAFgJAAAOAAAAZHJzL2Uyb0RvYy54bWy0Vttu3DYQfS/QfyD4Hmslay8SLAfbTWwU cBIjTpFnLkWthFIcluRa6/xNvqU/1iF1WXfXbdG0sQEtbzOcOTxnyKvXh1aSR2FsA6qg8cWMEqE4 lI3aFfSXTzevVpRYx1TJJChR0Cdh6evrH3+46nQuEqhBlsIQdKJs3umC1s7pPIosr0XL7AVooXCy AtMyh12zi0rDOvTeyiiZzRZRB6bUBriwFkff9JP0OvivKsHdh6qywhFZUIzNha8J363/RtdXLN8Z puuGD2Gwb4iiZY3CTSdXb5hjZG+aM1dtww1YqNwFhzaCqmq4CDlgNvHsJJtbA3sdctnl3U5PMCG0 Jzh9s1v+/vHekKYsaLKkRLEWz+jW7DUQ7CM4nd7luObW6Ad9b4aBXd/z+R4q0/pfzIQcAqxPE6zi 4AjHwUVyuVot55RwnIvniySeDcDzGk/nzI7XbwfLeZbFSXJuGY0bRz6+KZxOI4nsESf733B6qJkW AX7rMRhxQkb3OG32rDRASkEcpoqI9YCFxR4t4g4/AeYfB2ZYfQf8V0sUbGqmdmJtDHS1YCVGGXtL zGUy9cDb3Hon2+4dlHgqbO8gODqBPJ4l6WIZU4LgJlmWLi+9M5aP6KfZYjGfpwP6yQL/w8lOGLJc G+tuBbTENwpqUDVhJ/Z4Z52P7LjEe1Zw00gZNpGKdAXN5nhGJzNt41DYsmkLupr5vz4qn/BbVQZj xxrZt3EDqQYEfNJ9+u6wPeBCj8QWyifEwkAvYCw42KjBfKGkQ/EW1P62Z0ZQIn9WiGcWp6lXe+ik 82WCHfN8Zvt8himOrgrqKOmbGxcqRJ/RGnGvmgDDMZIhViRbH993Z12ajaz7iKfz+1e120sgODoA hPycBNoTx0d/QhVE4VydWXYZe7CCONPVYpWlgY1H639JDwuyKT1DfAShkIuNNOSRYQlmnAvlekHI fYvM7sfnI0OQCZNJIN6fvHmSPOPfy7Sx7kkKv06qj6LC2oYSTAI9J8/nwdiaoY5DjH8dS3DoPVeY 3eR7kLe/sc4TxePBKIf13lSES2kynv1dYL3xZBF2BuUm47ZRYF5yIBHiYed+/aitHpojjydFWc1v GlT/HbPunhm8A5ESXmYf8FNJQJXD0KLEC++l8f9XlmrfbgA5g6UNowtNL2Mnx2ZloP2M1//aFwOc GnXMnRk7g5IJPiC4WK/DMrx4NXN36kHzsTZ7hn86fGZGDyXQF/T3MF4ALD+phP1afx4K/rE+hDsK r+/AhOGp4d8Hz/vhfI4Pous/AAAA//8DAFBLAwQUAAYACAAAACEAGd1UyN4AAAAGAQAADwAAAGRy cy9kb3ducmV2LnhtbEyPQU/DMAyF70j8h8hI3FjaQmGUptM0AadpEhvStFvWeG21xqmarO3+PeYE Nz8/673P+WKyrRiw940jBfEsAoFUOtNQpeB79/EwB+GDJqNbR6jgih4Wxe1NrjPjRvrCYRsqwSHk M62gDqHLpPRljVb7meuQ2Du53urAsq+k6fXI4baVSRQ9S6sb4oZad7iqsTxvL1bB56jH5WP8PqzP p9X1sEs3+3WMSt3fTcs3EAGn8HcMv/iMDgUzHd2FjBetAn4k8DYFwebrPOHhqCB5eklBFrn8j1/8 AAAA//8DAFBLAQItABQABgAIAAAAIQC2gziS/gAAAOEBAAATAAAAAAAAAAAAAAAAAAAAAABbQ29u dGVudF9UeXBlc10ueG1sUEsBAi0AFAAGAAgAAAAhADj9If/WAAAAlAEAAAsAAAAAAAAAAAAAAAAA LwEAAF9yZWxzLy5yZWxzUEsBAi0AFAAGAAgAAAAhAMWym3TCAwAAWAkAAA4AAAAAAAAAAAAAAAAA LgIAAGRycy9lMm9Eb2MueG1sUEsBAi0AFAAGAAgAAAAhABndVMjeAAAABgEAAA8AAAAAAAAAAAAA AAAAHAYAAGRycy9kb3ducmV2LnhtbFBLBQYAAAAABAAEAPMAAAAnBwAAAAA= 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6;top:2994;width:49666;height:12627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smhNCwAAAANsAAAAPAAAAZHJzL2Rvd25yZXYueG1sRE/Pa8Iw FL4L+x/CG3izycTJVhtlKIOdJtZN8PZonm2xeQlNZrv/3hwGO358v4vNaDtxoz60jjU8ZQoEceVM y7WGr+P77AVEiMgGO8ek4ZcCbNYPkwJz4wY+0K2MtUghHHLU0MTocylD1ZDFkDlPnLiL6y3GBPta mh6HFG47OVdqKS22nBoa9LRtqLqWP1bD9+flfFqofb2zz35wo5JsX6XW08fxbQUi0hj/xX/uD6Nh nsamL+kHyPUdAAD//wMAUEsBAi0AFAAGAAgAAAAhANvh9svuAAAAhQEAABMAAAAAAAAAAAAAAAAA AAAAAFtDb250ZW50X1R5cGVzXS54bWxQSwECLQAUAAYACAAAACEAWvQsW78AAAAVAQAACwAAAAAA AAAAAAAAAAAfAQAAX3JlbHMvLnJlbHNQSwECLQAUAAYACAAAACEAbJoTQsAAAADbAAAADwAAAAAA AAAAAAAAAAAHAgAAZHJzL2Rvd25yZXYueG1sUEsFBgAAAAADAAMAtwAAAPQCAAAAAA== " filled="f" stroked="f">
                  <v:textbox>
                    <w:txbxContent>
                      <w:p w14:paraId="1585E57B" w14:textId="77777777" w:rsidR="0003309E" w:rsidRDefault="0003309E" w:rsidP="0003309E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2A8D66F8" w14:textId="7772022A" w:rsidR="00CE0AA8" w:rsidRPr="00231F2A" w:rsidRDefault="00CE0AA8" w:rsidP="00CE0AA8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Guía2. Desarrollo Proyecto APT </w:t>
                        </w:r>
                      </w:p>
                      <w:p w14:paraId="332AEDC3" w14:textId="5DCBCE3D" w:rsidR="0003309E" w:rsidRPr="00231F2A" w:rsidRDefault="00CE0AA8" w:rsidP="0003309E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Capstone</w:t>
                        </w:r>
                      </w:p>
                    </w:txbxContent>
                  </v:textbox>
                </v:shape>
                <v:rect id="Rectángulo 49" o:spid="_x0000_s1028" style="position:absolute;width:9931;height:14868;visibility:visible;mso-wrap-style:square;v-text-anchor:middl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GjL46wQAAANsAAAAPAAAAZHJzL2Rvd25yZXYueG1sRI/RagIx FETfBf8hXKFvmq0UsatRakHwSXDtB1yT62Z1c7Nsosa/b4RCH4eZOcMs18m14k59aDwreJ8UIIi1 Nw3XCn6O2/EcRIjIBlvPpOBJAdar4WCJpfEPPtC9irXIEA4lKrAxdqWUQVtyGCa+I87e2fcOY5Z9 LU2Pjwx3rZwWxUw6bDgvWOzo25K+VjenoDun6U5vtptndZzf7OW0l0mTUm+j9LUAESnF//Bfe2cU fHzC60v+AXL1CwAA//8DAFBLAQItABQABgAIAAAAIQDb4fbL7gAAAIUBAAATAAAAAAAAAAAAAAAA AAAAAABbQ29udGVudF9UeXBlc10ueG1sUEsBAi0AFAAGAAgAAAAhAFr0LFu/AAAAFQEAAAsAAAAA AAAAAAAAAAAAHwEAAF9yZWxzLy5yZWxzUEsBAi0AFAAGAAgAAAAhAIaMvjrBAAAA2wAAAA8AAAAA AAAAAAAAAAAABwIAAGRycy9kb3ducmV2LnhtbFBLBQYAAAAAAwADALcAAAD1AgAAAAA= " fillcolor="#1f3763 [1604]" stroked="f" strokeweight="1pt"/>
                <w10:wrap anchorx="margin"/>
              </v:group>
            </w:pict>
          </mc:Fallback>
        </mc:AlternateContent>
      </w:r>
    </w:p>
    <w:p w14:paraId="7F537762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4017F60B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7246DF2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3ECEA17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52DD29E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099E646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39"/>
      </w:tblGrid>
      <w:tr w:rsidR="0003309E" w14:paraId="68853070" w14:textId="77777777" w:rsidTr="00C5122E">
        <w:trPr>
          <w:trHeight w:val="440"/>
        </w:trPr>
        <w:tc>
          <w:tcPr>
            <w:tcW w:w="9639" w:type="dxa"/>
            <w:vAlign w:val="center"/>
          </w:tcPr>
          <w:p w14:paraId="1C7FA90E" w14:textId="2183587C" w:rsidR="0003309E" w:rsidRPr="00BF2EA6" w:rsidRDefault="0003309E" w:rsidP="00C5122E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1. Resumen avance Proyecto APT</w:t>
            </w:r>
          </w:p>
        </w:tc>
      </w:tr>
      <w:tr w:rsidR="0003309E" w14:paraId="104F9294" w14:textId="77777777" w:rsidTr="00C5122E">
        <w:trPr>
          <w:trHeight w:val="800"/>
        </w:trPr>
        <w:tc>
          <w:tcPr>
            <w:tcW w:w="9639" w:type="dxa"/>
            <w:shd w:val="clear" w:color="auto" w:fill="D9E2F3" w:themeFill="accent1" w:themeFillTint="33"/>
            <w:vAlign w:val="center"/>
          </w:tcPr>
          <w:p w14:paraId="58A014EC" w14:textId="77777777" w:rsidR="0003309E" w:rsidRPr="00DA1615" w:rsidRDefault="0003309E" w:rsidP="00585A13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 xml:space="preserve">A continuación, encontrarás distintos campos que deberás completar con la información solicitada. </w:t>
            </w:r>
          </w:p>
        </w:tc>
      </w:tr>
    </w:tbl>
    <w:p w14:paraId="57B7005F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29616BA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28"/>
        <w:gridCol w:w="7111"/>
      </w:tblGrid>
      <w:tr w:rsidR="0003309E" w14:paraId="416C77F4" w14:textId="77777777" w:rsidTr="000A1331">
        <w:tc>
          <w:tcPr>
            <w:tcW w:w="2528" w:type="dxa"/>
            <w:vAlign w:val="center"/>
          </w:tcPr>
          <w:p w14:paraId="72F2ABB8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 xml:space="preserve">Resumen de avance proyecto APT</w:t>
            </w:r>
          </w:p>
        </w:tc>
        <w:tc>
          <w:tcPr>
            <w:tcW w:w="7111" w:type="dxa"/>
          </w:tcPr>
          <w:p>
            <w:p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Proyecto: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ShelfVision AI, auditoría automatizada de quiebres de stock en góndolas de Walmart Chile. </w:t>
            </w: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Integrantes: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Mariana Ramírez, Francisco Sandoval y Nicko Cortes. </w:t>
            </w: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Corte: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21-10-2026.</w:t>
            </w:r>
          </w:p>
          <w:p>
            <w:p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Actividades realizadas.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El pipeline de visión artificial está completo: recibe una foto de góndola y entrega el porcentaje de espacio libre de la góndola completa, la alerta de quiebre (espacio libre mayor o igual al 30%) y la imagen anotada. Sus etapas son: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Corrección de imagen: dewarping y CLAHE.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Segmentación automática de la góndola y sus repisas con OpenCV.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Detección de productos con YOLO26, entrenado sobre el dataset SKU-110K.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Cálculo de disponibilidad, incluso con repisas inclinadas por cámaras en ángulo.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Pipeline completo por foto y evaluación por lotes contra anotaciones (IoU).</w:t>
            </w:r>
          </w:p>
          <w:p>
            <w:p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Además, la aplicación web (Django) ya tiene login por perfil (CU00), gestión de usuarios y roles (CU06), carga y análisis de fotos (CU01) alertas con estado para el reponedor (CU02) y exportación de reportes en Excel, CSV y PDF (CU04). Las plantillas de casos de uso y sus diagramas se rehicieron según la aplicación Django. En gestión, el equipo trabaja con ramas, Pull Requests, integración continua y una bitácora del proyecto (PROGRESS.md).</w:t>
            </w:r>
          </w:p>
          <w:p>
            <w:p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Objetivos específicos cumplidos y cómo.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Diseñar un algoritmo propio con tecnologías actuales para el análisis de imágenes: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cumplido. El pipeline es híbrido: visión clásica (OpenCV) para corregir la imagen y encontrar la góndola y sus repisas, y YOLO26 para detectar productos. El espacio libre se deduce de lo que los productos no cubren en cada repisa.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Procesar imágenes del entorno de operación para distinguir un espacio libre real por quiebre de stock: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cumplido con datasets públicos. Un hueco cuenta como espacio libre solo si mide al menos un ancho de producto, y el quiebre se informa para la góndola completa. Se validó en 44 fotos de Kaggle no usadas al entrenar: la alerta es correcta en el 84% de las fotos (92% con productos envasados). Falta validarlo con imágenes parecidas a las de Walmart, que no comparte las de sus cámaras.</w:t>
            </w:r>
          </w:p>
        </w:tc>
      </w:tr>
      <w:tr w:rsidR="0003309E" w14:paraId="054DAFFB" w14:textId="77777777" w:rsidTr="000A1331">
        <w:trPr/>
        <w:tc>
          <w:tcPr>
            <w:tcW w:w="2528" w:type="dxa"/>
            <w:vAlign w:val="center"/>
          </w:tcPr>
          <w:p w14:paraId="7942AC12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Objetivos</w:t>
            </w:r>
          </w:p>
        </w:tc>
        <w:tc>
          <w:tcPr>
            <w:tcW w:w="7111" w:type="dxa"/>
            <w:vAlign w:val="center"/>
          </w:tcPr>
          <w:p>
            <w:p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Se mantiene el objetivo general: desarrollar una solución basada en Inteligencia Artificial y Computer Vision que apoye la reposición de productos con la detección automática de quiebres de stock en las góndolas de Walmart.</w:t>
            </w:r>
          </w:p>
          <w:p>
            <w:p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Los objetivos específicos se reformularon con metas medibles (plan de mejoras, docs/plan-de-mejoras.md):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OE1.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Segmentar automáticamente la góndola y sus repisas con OpenCV antes del detector. Meta: F1 de repisas ≥ 0,80. </w:t>
            </w: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Cumplido: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F1 0,823 contra el dataset SHARD, en 1000 fotos no usadas para ajustar.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OE2.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Detectar productos en góndolas densas con YOLO26. Meta: mAP50 ≥ 0,70 fuera de SKU-110K. </w:t>
            </w: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En curso: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mAP50 0,950 en el test de SKU-110K y 0,713 en 45 fotos de Kaggle no usadas al entrenar. Con la cámara girada 35° baja a 0,637, bajo la meta. El fine-tuning del 21-10 la sube a 0,818 en 12 fotos de prueba y se aceptó, aunque el mAP50-95 en el test de SKU-110K baja de 0,610 a 0,533, porque SKU-110K no es el dominio de Walmart. Falta confirmarlo con fotos propias y con ruido de cámara de sala.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OE3.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Calcular el % libre de la góndola completa y alertar con espacio libre ≥ 30%. </w:t>
            </w: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En curso: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en 36 fotos de productos envasados la alerta es correcta en el 92% y el error medio del % libre es de 6,2 puntos; con frutas y verduras sueltas, fuera del alcance, baja al 50%. Tiempo por foto: 0,51 s (mediana).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OE4.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Entregar el sistema en una aplicación web con login por rol (CU00 a CU06). Meta: 50% de los casos de uso para la Evaluación 2. </w:t>
            </w: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En curso: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CU00, CU01, CU02, CU04 y CU06 operativos (5 de 8, más CU07 por línea de comandos); con esto se alcanza la meta de la Evaluación 2.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OE5.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Validar cada cambio con pruebas automatizadas y cada versión con evaluación por lotes. </w:t>
            </w: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Cumplido: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integración continua en cada Pull Request y evaluación por lotes con IoU.</w:t>
            </w:r>
          </w:p>
        </w:tc>
      </w:tr>
      <w:tr w:rsidR="0003309E" w14:paraId="2FEF1C0D" w14:textId="77777777" w:rsidTr="000A1331">
        <w:trPr/>
        <w:tc>
          <w:tcPr>
            <w:tcW w:w="2528" w:type="dxa"/>
            <w:vAlign w:val="center"/>
          </w:tcPr>
          <w:p w14:paraId="1064E0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Metodología</w:t>
            </w:r>
          </w:p>
        </w:tc>
        <w:tc>
          <w:tcPr>
            <w:tcW w:w="7111" w:type="dxa"/>
            <w:vAlign w:val="center"/>
          </w:tcPr>
          <w:p>
            <w:p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Ajuste del método.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La Fase 1 proponía entrenar un modelo que reconociera los espacios vacíos. Se reemplazó por un método híbrido: OpenCV corrige la imagen y segmenta la góndola, y después un detector de productos (YOLO26) encuentra los productos. Motivos: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Los datasets públicos grandes anotan productos, no espacios vacíos.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Walmart prefiere un modelo que el equipo pueda explicar.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La segmentación clásica permite medir el espacio libre por repisa aunque la cámara esté en ángulo.</w:t>
            </w:r>
          </w:p>
          <w:p>
            <w:p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Ajustes de recursos y arquitectura.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El modelo se entrena en una GPU local en vez de Google Colab. La aplicación web se construyó con Django y sesiones, en vez de una API REST con JWT y un frontend React, porque Django ya trae login, roles, bcrypt, protección CSRF y migraciones probadas, y para Walmart la interfaz es opcional.</w:t>
            </w:r>
          </w:p>
          <w:p>
            <w:p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Ajustes de alcance.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La región de interés la segmenta el sistema y nadie la dibuja a mano (27-09). La profundidad de la góndola es una constante de 25 cm. La alerta se informa para la góndola completa, por pedido del profesor (19-10).</w:t>
            </w:r>
          </w:p>
          <w:p>
            <w:p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Forma de trabajo.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Sprints con un backlog priorizado (PROGRESS.md), una rama y un Pull Request por tarea, integración continua (pruebas y construcción de la imagen Docker en cada PR) y desarrollo guiado por pruebas en los módulos nuevos.</w:t>
            </w:r>
          </w:p>
        </w:tc>
      </w:tr>
      <w:tr w:rsidR="0003309E" w14:paraId="74E704B1" w14:textId="77777777" w:rsidTr="000A1331">
        <w:trPr/>
        <w:tc>
          <w:tcPr>
            <w:tcW w:w="2528" w:type="dxa"/>
            <w:vAlign w:val="center"/>
          </w:tcPr>
          <w:p w14:paraId="0313DD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Evidencias de avance</w:t>
            </w:r>
          </w:p>
        </w:tc>
        <w:tc>
          <w:tcPr>
            <w:tcW w:w="7111" w:type="dxa"/>
            <w:vAlign w:val="center"/>
          </w:tcPr>
          <w:p>
            <w:p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Todas las evidencias están en el repositorio https://github.com/marianapeachy/capstone: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Segmentación medida contra SHARD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(scripts/evaluate_shard.py): compara las repisas detectadas con las anotadas y entrega precisión, recall y F1. Demuestra OE1.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Entrenamiento y métricas del detector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(docs/training.md e ítem #5 de PROGRESS.md): configuración y mAP de YOLO26. Demuestra OE2.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Plan de pruebas y resultados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(docs/test-plan.md): casos de prueba y resultados por módulo. Demuestra OE2, OE3 y OE5.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Pipeline completo y evaluación por lotes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(scripts/run_pipeline.py, src/pipeline.py): de la foto al % libre, la alerta y la imagen anotada, y la evaluación de un lote con IoU. Demuestra OE3 y OE5.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Aplicación web y base de datos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(web/, docs/auditoria-app-web.md): login por rol, CRUD de usuarios, análisis y alertas guardados en la base de datos, y reportes en Excel, CSV y PDF (src/reporting/export.py). Demuestra OE4 y el modelo de datos.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Análisis de resultados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(docs/analisis-resultados.md): 10 mejores y 10 peores casos y métricas del sistema completo en fotos de Kaggle. Demuestra OE2 y OE3.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README completo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(README.md): solución, decisiones técnicas, datasets y un ejemplo reproducible paso a paso.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Pruebas automatizadas e integración continua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(tests/, .github/workflows/ci.yml): 233 pruebas que corren en cada Pull Request. Demuestra OE5.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Gestión del proyecto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(PROGRESS.md, Anexos/Gestion/Carta Gantt Fase 2.xlsx, docs/plan-de-mejoras.md e historial de Pull Requests): dueño y estado de cada tarea y revisión de cada cambio.</w:t>
            </w:r>
          </w:p>
          <w:p>
            <w:p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Cómo se resguardó la calidad.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Pruebas automatizadas con pytest, escritas antes del código en los módulos nuevos.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La rama principal solo acepta cambios por Pull Request con las pruebas y la construcción de Docker en verde.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Medición contra datos anotados: una muestra para ajustar el método y otra distinta para confirmar el resultado.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Revisión de la licencia de cada dataset: las fotos de SKU-110K no se muestran ni se modifican.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Auditoría de la aplicación web contra los requisitos, los casos de uso y los mockups antes de publicarla.</w:t>
            </w:r>
          </w:p>
        </w:tc>
      </w:tr>
    </w:tbl>
    <w:tbl>
      <w:tblPr>
        <w:tblStyle w:val="Tablaconcuadrcula"/>
        <w:tblW w:w="9640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586C9C" w14:paraId="31DD54DD" w14:textId="77777777" w:rsidTr="000A1331">
        <w:trPr>
          <w:trHeight w:val="440"/>
        </w:trPr>
        <w:tc>
          <w:tcPr>
            <w:tcW w:w="9640" w:type="dxa"/>
            <w:vAlign w:val="center"/>
          </w:tcPr>
          <w:p w14:paraId="26CA16E7" w14:textId="77777777" w:rsidR="00586C9C" w:rsidRPr="00BF2EA6" w:rsidRDefault="00586C9C" w:rsidP="000A1331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lastRenderedPageBreak/>
              <w:t xml:space="preserve">2. Monitoreo del Plan de Trabajo </w:t>
            </w:r>
          </w:p>
        </w:tc>
      </w:tr>
      <w:tr w:rsidR="00586C9C" w14:paraId="07A4A632" w14:textId="77777777" w:rsidTr="000A1331">
        <w:trPr>
          <w:trHeight w:val="800"/>
        </w:trPr>
        <w:tc>
          <w:tcPr>
            <w:tcW w:w="9640" w:type="dxa"/>
            <w:shd w:val="clear" w:color="auto" w:fill="D9E2F3" w:themeFill="accent1" w:themeFillTint="33"/>
            <w:vAlign w:val="center"/>
          </w:tcPr>
          <w:p w14:paraId="130D7DED" w14:textId="5701F8AA" w:rsidR="00586C9C" w:rsidRPr="00DA1615" w:rsidRDefault="00586C9C" w:rsidP="00D714E2">
            <w:pPr>
              <w:jc w:val="both"/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 xml:space="preserve">Examina cuidadosamente tu plan de trabajo, enfocándote especialmente en la columna de estado de avance y ajustes.</w:t>
            </w:r>
          </w:p>
        </w:tc>
      </w:tr>
    </w:tbl>
    <w:p w14:paraId="5DABEEF6" w14:textId="59A60B1E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776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1328"/>
        <w:gridCol w:w="1077"/>
        <w:gridCol w:w="1276"/>
        <w:gridCol w:w="1276"/>
        <w:gridCol w:w="1275"/>
        <w:gridCol w:w="1276"/>
        <w:gridCol w:w="1418"/>
        <w:gridCol w:w="850"/>
      </w:tblGrid>
      <w:tr w:rsidR="00FD5149" w:rsidRPr="006E3B0D" w14:paraId="66FA4353" w14:textId="77777777" w:rsidTr="00EA0C09">
        <w:trPr>
          <w:tblHeader/>
          <w:trHeight w:val="415"/>
        </w:trPr>
        <w:tc>
          <w:tcPr>
            <w:tcW w:w="9776" w:type="dxa"/>
            <w:gridSpan w:val="8"/>
            <w:vAlign w:val="center"/>
          </w:tcPr>
          <w:p w14:paraId="0EAB918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Plan de Trabajo</w:t>
            </w:r>
          </w:p>
        </w:tc>
      </w:tr>
      <w:tr w:rsidR="00FD5149" w:rsidRPr="006E3B0D" w14:paraId="54BB210F" w14:textId="77777777" w:rsidTr="009552E5">
        <w:trPr>
          <w:tblHeader/>
          <w:trHeight w:val="711"/>
        </w:trPr>
        <w:tc>
          <w:tcPr>
            <w:tcW w:w="1328" w:type="dxa"/>
            <w:vAlign w:val="center"/>
          </w:tcPr>
          <w:p w14:paraId="29F5C73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 xml:space="preserve">Competencia o unidades de competencias</w:t>
            </w:r>
          </w:p>
        </w:tc>
        <w:tc>
          <w:tcPr>
            <w:tcW w:w="1077" w:type="dxa"/>
            <w:vAlign w:val="center"/>
          </w:tcPr>
          <w:p w14:paraId="54E7FFFD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Actividades</w:t>
            </w:r>
          </w:p>
        </w:tc>
        <w:tc>
          <w:tcPr>
            <w:tcW w:w="1276" w:type="dxa"/>
            <w:vAlign w:val="center"/>
          </w:tcPr>
          <w:p w14:paraId="63546E8A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Recursos</w:t>
            </w:r>
          </w:p>
        </w:tc>
        <w:tc>
          <w:tcPr>
            <w:tcW w:w="1276" w:type="dxa"/>
            <w:vAlign w:val="center"/>
          </w:tcPr>
          <w:p w14:paraId="392197F9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Duración de la actividad</w:t>
            </w:r>
          </w:p>
        </w:tc>
        <w:tc>
          <w:tcPr>
            <w:tcW w:w="1275" w:type="dxa"/>
            <w:vAlign w:val="center"/>
          </w:tcPr>
          <w:p w14:paraId="58CFFE4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Responsable</w:t>
            </w:r>
            <w:r>
              <w:rPr>
                <w:rStyle w:val="Refdenotaalpie"/>
                <w:rFonts w:ascii="Calibri" w:hAnsi="Calibri"/>
                <w:color w:val="1F3864" w:themeColor="accent1" w:themeShade="80"/>
                <w:sz w:val="18"/>
              </w:rPr>
              <w:footnoteReference w:id="1"/>
            </w:r>
          </w:p>
        </w:tc>
        <w:tc>
          <w:tcPr>
            <w:tcW w:w="1276" w:type="dxa"/>
            <w:vAlign w:val="center"/>
          </w:tcPr>
          <w:p w14:paraId="3E59D27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Observaciones</w:t>
            </w:r>
          </w:p>
        </w:tc>
        <w:tc>
          <w:tcPr>
            <w:tcW w:w="1418" w:type="dxa"/>
            <w:vAlign w:val="center"/>
          </w:tcPr>
          <w:p w14:paraId="16EAEFD4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Estado de avance</w:t>
            </w:r>
          </w:p>
        </w:tc>
        <w:tc>
          <w:tcPr>
            <w:tcW w:w="850" w:type="dxa"/>
            <w:vAlign w:val="center"/>
          </w:tcPr>
          <w:p w14:paraId="4DFF4306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Ajustes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C2. Evaluar y gestionar proyectos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Flujo de trabajo en equipo (ramas, PR, PROGRESS.md)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GitHub, Claude Code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27-09 (1 día)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Francisco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Ordena el trabajo de 3 personas en paralelo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Completado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-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C2. Evaluar y gestionar proyectos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CI en GitHub Actions y protección de la rama principal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GitHub Actions, Docker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27-09 (1 día)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Mariana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PR y CI en verde obligatorios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Completado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Desde el 19-10 no exige aprobación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C1. Diseñar y generar soluciones de software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Datasets: descarga reproducible, conversores y licencias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SKU-110K, SHARD, Kaggle, Roboflow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27-09 al 28-09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Francisco, Mariana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SKU-110K no se puede mostrar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Completado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-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C1. Diseñar y generar soluciones de software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Plan de pruebas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pytest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30-09 al 01-10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Francisco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Primeros resultados por módulo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Completado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-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C1. Diseñar y generar soluciones de software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Corrección de imagen y recorte de ROI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OpenCV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27-09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Francisco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Sin calibración de las cámaras de Walmart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Completado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ROI automática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C1. Diseñar y generar soluciones de software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Segmentación de góndola y repisas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OpenCV, SHARD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27-09 al 28-09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Francisco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F1 de repisas 0,823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Completado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-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C1. Diseñar y generar soluciones de software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Detector YOLO26: integración y entrenamiento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Ultralytics, GPU local 8 GB, SKU-110K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29-09 al 07-10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Francisco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mAP50 0,950 en test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Completado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YOLO26 en vez de YOLOv8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C1. Diseñar y generar soluciones de software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Disponibilidad y alerta de quiebre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Python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30-09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Francisco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Libre ≥ 30%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Ajustada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Góndola completa (19-10)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C1. Diseñar y generar soluciones de software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Repisas inclinadas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OpenCV, YOLO26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01-10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Francisco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Para cámaras en ángulo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Completado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-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C1. Diseñar y generar soluciones de software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Pipeline completo y evaluación por lotes (CU07)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Python, Docker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10-10 al 18-10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Francisco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-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Completado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-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C3. Ingeniería de requisitos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Quiebre por góndola completa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-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19-10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Francisco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Pedido del profesor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Completado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-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C1. Diseñar y generar soluciones de software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Verificar el detector fuera de SKU-110K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Kaggle CC0, Roboflow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20-10 al 21-10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Francisco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mAP50 0,713 de frente; 0,637 a 35°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Completado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Fine-tuning aceptado el 21-10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C1. Diseñar y generar soluciones de software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Reportes Excel, CSV y PDF (CU04)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openpyxl, fpdf2, Django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21-10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Mariana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Página Reportes de la app web; 13 pruebas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Completado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Antes del plazo (27-10)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C1. Diseñar y generar soluciones de software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Diseño, modelo y script de la base de datos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Django, SQLite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18-10 al 19-10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Francisco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Planificado para septiembre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Completado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Migraciones de Django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C1. Diseñar y generar soluciones de software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Login, CRUD de usuarios y roles (CU00, CU06)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Django, bcrypt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18-10 al 19-10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Francisco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22 pruebas de la app web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Completado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Django en vez de REST + JWT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C1. Diseñar y generar soluciones de software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Primer demo operativo ante Walmart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App web, pipeline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27-10 al 31-10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Nicko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Sin fotos de SKU-110K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No iniciado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-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C1. Diseñar y generar soluciones de software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Instalación en el servidor del CITT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Imagen Docker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Por definir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Por definir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Faltan instrucciones del CITT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No iniciado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-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C3. Ingeniería de requisitos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Registro de requisitos y plazos del curso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docs/curso.md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09-10 al 10-10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Francisco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-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Completado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-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C3. Ingeniería de requisitos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Casos de uso y diagramas alineados con Walmart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Plantillas de C.U, Mermaid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09-10 al 10-10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Francisco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-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Completado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-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C3. Ingeniería de requisitos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Plantillas de C.U y diagramas según la app Django (#42)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Plantillas de C.U, Mermaid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21-10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Mariana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CU00-CU06 y arquitectura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Completado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Sin API REST, JWT ni React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C2. Evaluar y gestionar proyectos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Plan de mejoras de la Fase 1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docs/plan-de-mejoras.md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20-10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Mariana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Plazo 09-10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Con retraso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Terminado el 20-10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C2. Evaluar y gestionar proyectos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Informe intermedio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Word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19-10 al 21-10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Francisco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Borrador en Fase 2/; entrega 21-10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En curso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Reasignado de Nicko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C1. Diseñar y generar soluciones de software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Análisis de resultados: 10 mejores y 10 peores casos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Kaggle CC0, pipeline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20-10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Francisco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Alerta correcta en el 84% de 44 fotos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Completado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-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C2. Evaluar y gestionar proyectos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README completo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README.md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20-10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Francisco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Ejemplo reproducible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Completado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-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C2. Evaluar y gestionar proyectos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Video de demostración (5 a 10 min)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App web, fotos sin SKU-110K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21-10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Nicko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Entrega 21-10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No iniciado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Reasignado de Francisco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C2. Evaluar y gestionar proyectos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Evidencias de avance (diario 2.1 y guía 2.4)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Plantillas del curso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20-10 al 26-10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Mariana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Entrega 26-10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En curso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-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C2. Evaluar y gestionar proyectos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Feria de informática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-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Semana del 26-10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Nicko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Día y hora por informar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No iniciado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-</w:t>
            </w:r>
          </w:p>
        </w:tc>
      </w:tr>
      <w:tr>
        <w:tc>
          <w:tcPr>
            <w:tcW w:w="9776" w:type="dxa"/>
            <w:gridSpan w:val="8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Competencias del perfil de egreso: C1 = diseñar y generar soluciones de software innovadoras y de calidad, aplicando su ciclo de vida; C2 = evaluar y gestionar proyectos de su área durante todo su ciclo de vida; C3 = diseñar y adaptar los procesos de ingeniería de requisitos. Fuente: Carta Gantt de la Fase 2 (Anexos/Gestion/Carta Gantt Fase 2.xlsx), corte 21-10-2026.</w:t>
            </w:r>
          </w:p>
        </w:tc>
      </w:tr>
    </w:tbl>
    <w:p w14:paraId="66FF4E8D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498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14:paraId="12F51379" w14:textId="77777777" w:rsidTr="00C5122E">
        <w:trPr>
          <w:trHeight w:val="440"/>
        </w:trPr>
        <w:tc>
          <w:tcPr>
            <w:tcW w:w="9498" w:type="dxa"/>
            <w:vAlign w:val="center"/>
          </w:tcPr>
          <w:p w14:paraId="6B756D75" w14:textId="77777777" w:rsidR="0003309E" w:rsidRPr="00BF2EA6" w:rsidRDefault="0003309E" w:rsidP="00585A13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3. Ajustes a partir del monitoreo </w:t>
            </w:r>
          </w:p>
        </w:tc>
      </w:tr>
      <w:tr w:rsidR="0003309E" w14:paraId="08F9EDA3" w14:textId="77777777" w:rsidTr="00C5122E">
        <w:trPr>
          <w:trHeight w:val="800"/>
        </w:trPr>
        <w:tc>
          <w:tcPr>
            <w:tcW w:w="9498" w:type="dxa"/>
            <w:shd w:val="clear" w:color="auto" w:fill="D9E2F3" w:themeFill="accent1" w:themeFillTint="33"/>
            <w:vAlign w:val="center"/>
          </w:tcPr>
          <w:p w14:paraId="5EF8C712" w14:textId="6A7F5694" w:rsidR="0003309E" w:rsidRPr="00B27207" w:rsidRDefault="0003309E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 xml:space="preserve">Profundiza en las observaciones de tu plan de trabajo. Analiza las actividades planificadas y señala qué aspectos facilitaron u obstaculizaron la ejecución del plan. Plantea cómo abordaste y/o abordarás los obstáculos. Por último, señala los ajustes que realizaste al plan de trabajo a partir de este análisis.</w:t>
            </w:r>
          </w:p>
        </w:tc>
      </w:tr>
    </w:tbl>
    <w:p w14:paraId="5C111E8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5590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6"/>
      </w:tblGrid>
      <w:tr w:rsidR="0003309E" w14:paraId="5B12D08B" w14:textId="77777777" w:rsidTr="00C5122E">
        <w:trPr/>
        <w:tc>
          <w:tcPr>
            <w:tcW w:w="5000" w:type="pct"/>
            <w:vAlign w:val="center"/>
          </w:tcPr>
          <w:p>
            <w:pPr>
              <w:spacing w:after="120"/>
              <w:jc w:val="both"/>
            </w:pPr>
            <w:r>
              <w:rPr>
                <w:b/>
                <w:rFonts w:ascii="Calibri" w:hAnsi="Calibri"/>
                <w:color w:val="1F3864" w:themeColor="accent1" w:themeShade="80"/>
              </w:rPr>
              <w:t xml:space="preserve">Factores que han facilitado y/o dificultado el desarrollo de mi plan de trabajo</w:t>
            </w:r>
          </w:p>
          <w:p>
            <w:p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Facilitadores: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Datasets públicos con licencia académica: SKU-110K para entrenar el detector y SHARD, que anota las repisas, para medir la segmentación sin etiquetar a mano.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La integración continua detecta errores antes de que lleguen a la rama principal.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Asistentes de programación con reglas compartidas (CLAUDE.md) y una bitácora común (PROGRESS.md).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Las reuniones con Walmart (03-09, 16-09 y 30-09) dejaron criterios claros; por ejemplo, que cualquier criterio del equipo es válido si se justifica ante el negocio.</w:t>
            </w:r>
          </w:p>
          <w:p>
            <w:p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Dificultades y acciones: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Walmart no comparte imágenes de sus cámaras ni su dataset de evaluación.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Acción: se usan datasets públicos parecidos (SHARD, Kaggle, Roboflow), se generan vistas oblicuas sintéticas y se propone que Walmart ejecute el sistema (imagen Docker) en sus instalaciones y entregue solo las métricas.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La licencia de SKU-110K prohíbe mostrar o modificar sus fotos.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Acción: se usa solo para entrenar y medir; las demos y el análisis de casos usan otros datasets.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Cambios de alcance durante el semestre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(región de interés automática y alerta por góndola completa). Acción: se registran en docs/curso.md y PROGRESS.md y se implementan como tareas separadas.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Entrenamiento en Windows con una GPU de 8 GB.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Acción: se ajustó la configuración del entrenamiento para que corra en esa GPU.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Servidor del CITT sin instrucciones de instalación.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Acción: la imagen Docker queda lista para instalarla cuando lleguen.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Trabajo concentrado en un integrante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(43 de 61 Pull Requests mergeados al 22-10). Acción: cada integrante abre los Pull Requests de sus tareas y revisa los de otro (plan de mejoras, M9).</w:t>
            </w:r>
          </w:p>
        </w:tc>
      </w:tr>
    </w:tbl>
    <w:p w14:paraId="7BD7514A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5588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3"/>
      </w:tblGrid>
      <w:tr w:rsidR="0003309E" w:rsidRPr="00711C16" w14:paraId="56B8FCE9" w14:textId="77777777" w:rsidTr="00C5122E">
        <w:trPr/>
        <w:tc>
          <w:tcPr>
            <w:tcW w:w="5000" w:type="pct"/>
            <w:vAlign w:val="center"/>
          </w:tcPr>
          <w:p>
            <w:pPr>
              <w:spacing w:after="120"/>
              <w:jc w:val="both"/>
            </w:pPr>
            <w:r>
              <w:rPr>
                <w:b/>
                <w:rFonts w:ascii="Calibri" w:hAnsi="Calibri"/>
                <w:color w:val="1F3864" w:themeColor="accent1" w:themeShade="80"/>
              </w:rPr>
              <w:t xml:space="preserve">Actividades ajustadas o eliminadas: 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Entrenar un modelo que reconozca espacios vacíos: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reemplazada por el detector de productos con segmentación clásica, por los datasets disponibles y para tener un modelo explicable.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Dashboard en React y API REST con JWT: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reemplazada por la aplicación Django con sesiones, para no duplicar trabajo en una interfaz que Walmart considera opcional.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Editor manual de la región de interés: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eliminada, porque el sistema segmenta la góndola automáticamente.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Alerta por repisa: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ajustada a la góndola completa, por pedido del profesor (19-10).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Pruebas contra el dataset de evaluación de Walmart: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ajustadas a que Walmart ejecute el sistema en sus instalaciones y entregue solo las métricas, porque sus imágenes no salen de la empresa (modalidad por confirmar).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Base de datos: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planificada en septiembre como diseño aparte; se hizo el 18 y 19 de octubre junto con la aplicación web, con los modelos y migraciones de Django.</w:t>
            </w:r>
          </w:p>
        </w:tc>
      </w:tr>
    </w:tbl>
    <w:p w14:paraId="4B435A76" w14:textId="0F0AF681" w:rsidR="0003309E" w:rsidRDefault="0003309E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p w14:paraId="329F7673" w14:textId="77777777" w:rsidR="00FD5149" w:rsidRPr="00CD38BD" w:rsidRDefault="00FD5149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tbl>
      <w:tblPr>
        <w:tblStyle w:val="Tablaconcuadrcula"/>
        <w:tblW w:w="5591" w:type="pct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:rsidRPr="00711C16" w14:paraId="2284498D" w14:textId="77777777" w:rsidTr="00C5122E">
        <w:trPr/>
        <w:tc>
          <w:tcPr>
            <w:tcW w:w="5000" w:type="pct"/>
            <w:vAlign w:val="center"/>
          </w:tcPr>
          <w:p>
            <w:pPr>
              <w:spacing w:after="120"/>
              <w:jc w:val="both"/>
            </w:pPr>
            <w:r>
              <w:rPr>
                <w:b/>
                <w:rFonts w:ascii="Calibri" w:hAnsi="Calibri"/>
                <w:color w:val="1F3864" w:themeColor="accent1" w:themeShade="80"/>
              </w:rPr>
              <w:t>Actividades que no has iniciado o están retrasadas: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Plan de mejoras de la Fase 1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(plazo 09-10): terminado el 20-10. Sus diez mejoras se siguen en docs/plan-de-mejoras.md.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Login y CRUD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(pedidos para la semana 8): terminados el 19-10, con atraso.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Semana del 12 al 16 de octubre sin avances de código.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Motivo: </w:t>
            </w:r>
            <w:r>
              <w:rPr>
                <w:rFonts w:ascii="Calibri" w:hAnsi="Calibri" w:cs="Calibri"/>
                <w:b/>
                <w:color w:val="000000"/>
                <w:highlight w:val="yellow"/>
                <w:sz w:val="22"/>
                <w:szCs w:val="22"/>
              </w:rPr>
              <w:t xml:space="preserve">[A completar por el equipo]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Verificar el detector fuera de SKU-110K: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medido con fotos de Kaggle (licencia CC0), vistas oblicuas y Roboflow. De frente cumple la meta (mAP50 0,713), pero a 35° queda en 0,637. El fine-tuning del 21-10 sube 35° a 0,818 y se aceptó, aunque baja el mAP50-95 en SKU-110K a 0,533. Estrategia: medirlo con el set de fotos propias (#32) y con ruido de cámara de sala (#55, 2026-11-06).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Reportes en Excel, CSV y PDF (CU04):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terminado el 21-10 por Mariana Ramírez, antes del plazo (27-10); se mostrará en la demo del 31-10.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Dashboard (CU03) y configuración de cámaras y umbral (CU05):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no iniciados y sin responsable. Estrategia: asignarlos en la próxima reunión del equipo; con CU04 ya se llegó al 50% de los casos de uso para la Evaluación 2.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Instalación en el servidor del CITT: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bloqueada hasta recibir las instrucciones; la imagen Docker está lista.</w:t>
            </w:r>
          </w:p>
        </w:tc>
      </w:tr>
    </w:tbl>
    <w:p w14:paraId="23A72E3B" w14:textId="77777777" w:rsidR="0003309E" w:rsidRPr="0003309E" w:rsidRDefault="0003309E">
      <w:pPr>
        <w:rPr>
          <w:lang w:val="es-ES"/>
        </w:rPr>
      </w:pPr>
    </w:p>
    <w:sectPr w:rsidR="0003309E" w:rsidRPr="0003309E">
      <w:head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631069C" w14:textId="77777777" w:rsidR="005A0A7C" w:rsidRDefault="005A0A7C" w:rsidP="0003309E">
      <w:pPr>
        <w:spacing w:after="0" w:line="240" w:lineRule="auto"/>
      </w:pPr>
      <w:r>
        <w:separator/>
      </w:r>
    </w:p>
  </w:endnote>
  <w:endnote w:type="continuationSeparator" w:id="0">
    <w:p w14:paraId="69B8617C" w14:textId="77777777" w:rsidR="005A0A7C" w:rsidRDefault="005A0A7C" w:rsidP="000330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421B8F5" w14:textId="77777777" w:rsidR="005A0A7C" w:rsidRDefault="005A0A7C" w:rsidP="0003309E">
      <w:pPr>
        <w:spacing w:after="0" w:line="240" w:lineRule="auto"/>
      </w:pPr>
      <w:r>
        <w:separator/>
      </w:r>
    </w:p>
  </w:footnote>
  <w:footnote w:type="continuationSeparator" w:id="0">
    <w:p w14:paraId="362472A8" w14:textId="77777777" w:rsidR="005A0A7C" w:rsidRDefault="005A0A7C" w:rsidP="0003309E">
      <w:pPr>
        <w:spacing w:after="0" w:line="240" w:lineRule="auto"/>
      </w:pPr>
      <w:r>
        <w:continuationSeparator/>
      </w:r>
    </w:p>
  </w:footnote>
  <w:footnote w:id="1">
    <w:p w14:paraId="4451B7D5" w14:textId="77777777" w:rsidR="00FD5149" w:rsidRPr="002819E3" w:rsidRDefault="00FD5149" w:rsidP="00FD5149">
      <w:pPr>
        <w:pStyle w:val="Textonotapie"/>
        <w:rPr>
          <w:color w:val="595959" w:themeColor="text1" w:themeTint="A6"/>
        </w:rPr>
      </w:pPr>
      <w:r w:rsidRPr="002819E3">
        <w:rPr>
          <w:rStyle w:val="Refdenotaalpie"/>
          <w:color w:val="595959" w:themeColor="text1" w:themeTint="A6"/>
        </w:rPr>
        <w:footnoteRef/>
      </w:r>
      <w:r w:rsidRPr="002819E3">
        <w:rPr>
          <w:color w:val="595959" w:themeColor="text1" w:themeTint="A6"/>
        </w:rPr>
        <w:t xml:space="preserve"> </w:t>
      </w:r>
      <w:r w:rsidRPr="002819E3">
        <w:rPr>
          <w:color w:val="595959" w:themeColor="text1" w:themeTint="A6"/>
          <w:lang w:val="es-CL"/>
        </w:rPr>
        <w:t>En caso de que el Proyecto APT sea grupal,</w:t>
      </w:r>
      <w:r>
        <w:rPr>
          <w:color w:val="595959" w:themeColor="text1" w:themeTint="A6"/>
          <w:lang w:val="es-CL"/>
        </w:rPr>
        <w:t xml:space="preserve"> en</w:t>
      </w:r>
      <w:r w:rsidRPr="002819E3">
        <w:rPr>
          <w:color w:val="595959" w:themeColor="text1" w:themeTint="A6"/>
          <w:lang w:val="es-CL"/>
        </w:rPr>
        <w:t xml:space="preserve"> esta columna </w:t>
      </w:r>
      <w:r>
        <w:rPr>
          <w:color w:val="595959" w:themeColor="text1" w:themeTint="A6"/>
          <w:lang w:val="es-CL"/>
        </w:rPr>
        <w:t xml:space="preserve">deben </w:t>
      </w:r>
      <w:r w:rsidRPr="002819E3">
        <w:rPr>
          <w:color w:val="595959" w:themeColor="text1" w:themeTint="A6"/>
          <w:lang w:val="es-CL"/>
        </w:rPr>
        <w:t>indicar el nombre de los responsables de cada tarea o actividad. Esto posteriormente permitirá diferenciar la evaluación por cada integrante.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aconcuadrcula1"/>
      <w:tblW w:w="10170" w:type="dxa"/>
      <w:tblInd w:w="-709" w:type="dxa"/>
      <w:tblLook w:val="04A0" w:firstRow="1" w:lastRow="0" w:firstColumn="1" w:lastColumn="0" w:noHBand="0" w:noVBand="1"/>
    </w:tblPr>
    <w:tblGrid>
      <w:gridCol w:w="5954"/>
      <w:gridCol w:w="4216"/>
    </w:tblGrid>
    <w:tr w:rsidR="00C44557" w:rsidRPr="00A7239E" w14:paraId="4046DBCD" w14:textId="77777777" w:rsidTr="00C44557">
      <w:trPr>
        <w:trHeight w:val="697"/>
      </w:trPr>
      <w:tc>
        <w:tcPr>
          <w:tcW w:w="5954" w:type="dxa"/>
          <w:tcBorders>
            <w:top w:val="nil"/>
            <w:left w:val="nil"/>
            <w:bottom w:val="nil"/>
            <w:right w:val="nil"/>
          </w:tcBorders>
        </w:tcPr>
        <w:p w14:paraId="530B6B0B" w14:textId="7D543F41" w:rsidR="00C44557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- </w:t>
          </w:r>
          <w:r w:rsidR="00CE0AA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Desarrollo</w:t>
          </w:r>
          <w:r w:rsidRPr="00C44557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Proyecto 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7816626E" w14:textId="0166C12C" w:rsidR="00C44557" w:rsidRPr="005673ED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0DCB0336" w14:textId="77777777" w:rsidR="00C44557" w:rsidRPr="00A7239E" w:rsidRDefault="00C44557" w:rsidP="00C44557">
          <w:pPr>
            <w:jc w:val="center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796B0F40" wp14:editId="1B350AE8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65679D53" w14:textId="77777777" w:rsidR="00C44557" w:rsidRDefault="00C4455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90">
    <w:multiLevelType w:val="hybridMultilevel"/>
    <w:lvl w:ilvl="0">
      <w:start w:val="1"/>
      <w:numFmt w:val="bullet"/>
      <w:lvlText w:val="•"/>
      <w:lvlJc w:val="left"/>
      <w:pPr>
        <w:ind w:left="360" w:hanging="227"/>
      </w:pPr>
      <w:rPr>
        <w:rFonts w:ascii="Calibri" w:hAnsi="Calibri" w:hint="default"/>
      </w:rPr>
    </w:lvl>
  </w:abstractNum>
  <w:num w:numId="1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309E"/>
    <w:rsid w:val="00012FB2"/>
    <w:rsid w:val="00025477"/>
    <w:rsid w:val="0003309E"/>
    <w:rsid w:val="00065341"/>
    <w:rsid w:val="000A1331"/>
    <w:rsid w:val="00145B36"/>
    <w:rsid w:val="00147283"/>
    <w:rsid w:val="003608EA"/>
    <w:rsid w:val="00470CE4"/>
    <w:rsid w:val="004B75F6"/>
    <w:rsid w:val="00521026"/>
    <w:rsid w:val="00545F23"/>
    <w:rsid w:val="00563B43"/>
    <w:rsid w:val="00586C9C"/>
    <w:rsid w:val="005A0A7C"/>
    <w:rsid w:val="005B4D4A"/>
    <w:rsid w:val="00603474"/>
    <w:rsid w:val="00675035"/>
    <w:rsid w:val="00675A73"/>
    <w:rsid w:val="006858A7"/>
    <w:rsid w:val="00695E7C"/>
    <w:rsid w:val="006B242E"/>
    <w:rsid w:val="00806DE0"/>
    <w:rsid w:val="0081536B"/>
    <w:rsid w:val="008479F5"/>
    <w:rsid w:val="0085275A"/>
    <w:rsid w:val="008F621F"/>
    <w:rsid w:val="009378F7"/>
    <w:rsid w:val="009552E5"/>
    <w:rsid w:val="00976ABB"/>
    <w:rsid w:val="009E52DF"/>
    <w:rsid w:val="00B31361"/>
    <w:rsid w:val="00B4258F"/>
    <w:rsid w:val="00B8164D"/>
    <w:rsid w:val="00BE1024"/>
    <w:rsid w:val="00C20F3D"/>
    <w:rsid w:val="00C44557"/>
    <w:rsid w:val="00C5122E"/>
    <w:rsid w:val="00CE0AA8"/>
    <w:rsid w:val="00D67975"/>
    <w:rsid w:val="00D714E2"/>
    <w:rsid w:val="00DF3386"/>
    <w:rsid w:val="00E50368"/>
    <w:rsid w:val="00EA0C09"/>
    <w:rsid w:val="00FD51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AE4F60"/>
  <w15:chartTrackingRefBased/>
  <w15:docId w15:val="{9D86CA80-26A5-664D-B7CA-D7017D5A8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3309E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3309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03309E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03309E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0330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3309E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03309E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03309E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03309E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586C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86C9C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C44557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C5122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5122E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9E52D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E52D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E52D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E52D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E52D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6CA5683-AF87-4E40-B841-2E23A3B52406}">
  <ds:schemaRefs>
    <ds:schemaRef ds:uri="http://purl.org/dc/terms/"/>
    <ds:schemaRef ds:uri="http://purl.org/dc/elements/1.1/"/>
    <ds:schemaRef ds:uri="http://schemas.openxmlformats.org/package/2006/metadata/core-properties"/>
    <ds:schemaRef ds:uri="http://www.w3.org/XML/1998/namespace"/>
    <ds:schemaRef ds:uri="http://schemas.microsoft.com/office/2006/metadata/properties"/>
    <ds:schemaRef ds:uri="http://schemas.microsoft.com/office/2006/documentManagement/types"/>
    <ds:schemaRef ds:uri="http://purl.org/dc/dcmitype/"/>
    <ds:schemaRef ds:uri="http://schemas.microsoft.com/office/infopath/2007/PartnerControls"/>
    <ds:schemaRef ds:uri="126e8a1c-9ea9-435a-ac89-d06c80d62e30"/>
  </ds:schemaRefs>
</ds:datastoreItem>
</file>

<file path=customXml/itemProps2.xml><?xml version="1.0" encoding="utf-8"?>
<ds:datastoreItem xmlns:ds="http://schemas.openxmlformats.org/officeDocument/2006/customXml" ds:itemID="{6F3661B0-5934-4FAB-ADC6-33A19B814E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51C61E4-DB75-4684-AD25-71F546404E9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538</Words>
  <Characters>2960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Victoria Acevedo D</cp:lastModifiedBy>
  <cp:revision>4</cp:revision>
  <dcterms:created xsi:type="dcterms:W3CDTF">2022-08-24T18:14:00Z</dcterms:created>
  <dcterms:modified xsi:type="dcterms:W3CDTF">2023-02-06T15:14:00Z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