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CU03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Consultar Dashboard de Disponibilidad de Góndolas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Jefe de Salón / Reponedor de Tienda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20" w:before="220"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usuario accede a la interfaz gráfica para revisar el estado de las góndolas según la última captura analizada de cada una (la frecuencia depende de la cámara o del lote de fotos).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20" w:before="220" w:line="240" w:lineRule="auto"/>
              <w:ind w:left="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se encuentra autenticado en el sistema con un perfil autorizado.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0" w:afterAutospacing="0" w:before="22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ingresa a la sección de "Dashboard de Góndolas".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despliega un mapa o lista de pasillos con el espacio libre de cada góndola (Verde: menos de la mitad del umbral; Amarillo: desde la mitad hasta el umbral; Rojo: umbral alcanzado, con alerta. Con el umbral por defecto: &lt;15%, 15%-30% y &gt;=30%).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22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selecciona una góndola específica para ver el espacio libre por repisa, la imagen analizada y el historial de las últimas capturas.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Postcondiciones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El usuario obtiene la visibilidad del estado de sala para coordinar la operación.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Excepciones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>
              <w:rPr>
                <w:b w:val="1"/>
                <w:bCs w:val="1"/>
                <w:rtl w:val="0"/>
              </w:rPr>
              <w:t xml:space="preserve">Excepción 2a (Sin capturas recientes)</w:t>
            </w:r>
            <w:r>
              <w:rPr>
                <w:rtl w:val="0"/>
              </w:rPr>
              <w:t xml:space="preserve">: Si una góndola no tiene captura en el período, se muestra como "Sin datos" en vez de un color.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