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cantSplit/>
          <w:trHeight w:val="440"/>
        </w:trPr>
        <w:tc>
          <w:tcPr>
            <w:tcW w:w="10076" w:type="dxa"/>
            <w:vAlign w:val="center"/>
          </w:tcPr>
          <w:p w14:paraId="65586F2B" w14:textId="77777777" w:rsidR="004F2A8B" w:rsidRPr="00885110" w:rsidRDefault="004F2A8B" w:rsidP="3D28A338">
            <w:pPr>
              <w:keepNext/>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pPr>
              <w:spacing w:before="60" w:after="60"/>
              <w:jc w:val="both"/>
            </w:pPr>
            <w:r>
              <w:rPr>
                <w:rFonts w:ascii="Calibri" w:hAnsi="Calibri" w:eastAsiaTheme="majorEastAsia"/>
                <w:sz w:val="22"/>
                <w:szCs w:val="22"/>
              </w:rPr>
              <w:t xml:space="preserve">Cumplimos lo técnico y nos atrasamos en lo documental. Al 2026-10-22, la Carta Gantt de la Fase 2 tiene 49 actividades: 36 cumplidas, 3 en curso, 9 pendientes y 1 bloqueada (la instalación en el servidor del CITT, que espera sus instrucciones).</w:t>
            </w:r>
          </w:p>
          <w:p>
            <w:pPr>
              <w:spacing w:before="60" w:after="60"/>
              <w:jc w:val="both"/>
            </w:pPr>
            <w:r>
              <w:rPr>
                <w:rFonts w:ascii="Calibri" w:hAnsi="Calibri" w:eastAsiaTheme="majorEastAsia"/>
                <w:sz w:val="22"/>
                <w:szCs w:val="22"/>
              </w:rPr>
              <w:t xml:space="preserve">El pipeline de visión artificial se terminó antes de lo planificado (2026-10-18) y los reportes en Excel, CSV y PDF (CU04) el 2026-10-21, antes de su plazo del 2026-10-27. Se atrasaron el plan de mejoras de la Fase 1 (plazo 2026-10-09, terminado el 2026-10-20), el login y el CRUD de usuarios (pedidos para la semana 8, terminados el 2026-10-19) y la base de datos (planificada en septiembre, hecha el 2026-10-18). La semana del 12 al 16 de octubre no tuvimos avances de código por dificultades personales del equipo.</w:t>
            </w:r>
          </w:p>
          <w:p>
            <w:pPr>
              <w:spacing w:before="60" w:after="60"/>
              <w:jc w:val="both"/>
            </w:pPr>
            <w:r>
              <w:rPr>
                <w:rFonts w:ascii="Calibri" w:hAnsi="Calibri" w:eastAsiaTheme="majorEastAsia"/>
                <w:sz w:val="22"/>
                <w:szCs w:val="22"/>
              </w:rPr>
              <w:t xml:space="preserve">Facilitadores: los datasets públicos con licencia académica (SKU-110K para entrenar el detector y SHARD para medir la segmentación sin anotar a mano), la integración continua, que detecta errores antes de integrar los cambios, y los criterios claros que dejaron las reuniones con Walmart.</w:t>
            </w:r>
          </w:p>
          <w:p>
            <w:pPr>
              <w:spacing w:before="60" w:after="60"/>
              <w:jc w:val="both"/>
            </w:pPr>
            <w:r>
              <w:rPr>
                <w:rFonts w:ascii="Calibri" w:hAnsi="Calibri" w:eastAsiaTheme="majorEastAsia"/>
                <w:sz w:val="22"/>
                <w:szCs w:val="22"/>
              </w:rPr>
              <w:t xml:space="preserve">Obstáculos: Walmart no comparte imágenes de sus cámaras, la licencia de SKU-110K impide mostrar o modificar sus fotos, hubo cambios de alcance durante el semestre (región de interés automática y alerta por góndola completa) y el trabajo estuvo concentrado en un integrante.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cantSplit/>
          <w:trHeight w:val="440"/>
        </w:trPr>
        <w:tc>
          <w:tcPr>
            <w:tcW w:w="10076" w:type="dxa"/>
            <w:vAlign w:val="center"/>
          </w:tcPr>
          <w:p w14:paraId="45BEE2C8" w14:textId="77777777" w:rsidR="004F2A8B" w:rsidRPr="00885110" w:rsidRDefault="004F2A8B" w:rsidP="3D28A338">
            <w:pPr>
              <w:keepNext/>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pPr>
              <w:spacing w:before="60" w:after="60"/>
              <w:jc w:val="both"/>
            </w:pPr>
            <w:r>
              <w:rPr>
                <w:rFonts w:ascii="Calibri" w:hAnsi="Calibri" w:eastAsiaTheme="majorEastAsia"/>
                <w:sz w:val="22"/>
                <w:szCs w:val="22"/>
              </w:rPr>
              <w:t xml:space="preserve">Sin imágenes de Walmart: usamos datasets públicos parecidos (SHARD, Kaggle y Roboflow), generamos vistas en ángulo con fotos que sí se pueden modificar y propusimos que Walmart ejecute el sistema (imagen Docker) en sus instalaciones con su propio set de evaluación.</w:t>
            </w:r>
          </w:p>
          <w:p>
            <w:pPr>
              <w:spacing w:before="60" w:after="60"/>
              <w:jc w:val="both"/>
            </w:pPr>
            <w:r>
              <w:rPr>
                <w:rFonts w:ascii="Calibri" w:hAnsi="Calibri" w:eastAsiaTheme="majorEastAsia"/>
                <w:sz w:val="22"/>
                <w:szCs w:val="22"/>
              </w:rPr>
              <w:t xml:space="preserve">Licencia de SKU-110K: la usamos solo para entrenar y medir el detector; las demos, el video y el análisis de casos usan fotos de Kaggle (CC0).</w:t>
            </w:r>
          </w:p>
          <w:p>
            <w:pPr>
              <w:spacing w:before="60" w:after="60"/>
              <w:jc w:val="both"/>
            </w:pPr>
            <w:r>
              <w:rPr>
                <w:rFonts w:ascii="Calibri" w:hAnsi="Calibri" w:eastAsiaTheme="majorEastAsia"/>
                <w:sz w:val="22"/>
                <w:szCs w:val="22"/>
              </w:rPr>
              <w:t xml:space="preserve">Detector con menor rendimiento fuera de SKU-110K (mAP50 0,637 con la cámara a 35°): hicimos un fine-tuning con fotos de Kaggle separadas en entrenamiento y prueba, que lo subió a 0,818 en 12 fotos de prueba. Falta confirmarlo con fotos propias y con ruido de cámara de sala.</w:t>
            </w:r>
          </w:p>
          <w:p>
            <w:pPr>
              <w:spacing w:before="60" w:after="60"/>
              <w:jc w:val="both"/>
            </w:pPr>
            <w:r>
              <w:rPr>
                <w:rFonts w:ascii="Calibri" w:hAnsi="Calibri" w:eastAsiaTheme="majorEastAsia"/>
                <w:sz w:val="22"/>
                <w:szCs w:val="22"/>
              </w:rPr>
              <w:t xml:space="preserve">Cambios de alcance y atrasos: los registramos en el backlog del proyecto (PROGRESS.md) y en la Carta Gantt, los implementamos como ítems separados con su propio Pull Request y reasignamos tareas cuando hizo falta.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cantSplit/>
          <w:trHeight w:val="440"/>
        </w:trPr>
        <w:tc>
          <w:tcPr>
            <w:tcW w:w="10076" w:type="dxa"/>
            <w:vAlign w:val="center"/>
          </w:tcPr>
          <w:p w14:paraId="5777F753" w14:textId="77777777" w:rsidR="004F2A8B" w:rsidRPr="00885110" w:rsidRDefault="004F2A8B" w:rsidP="3D28A338">
            <w:pPr>
              <w:keepNext/>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pPr>
              <w:spacing w:before="60" w:after="60"/>
              <w:jc w:val="both"/>
            </w:pPr>
            <w:r>
              <w:rPr>
                <w:rFonts w:ascii="Calibri" w:hAnsi="Calibri" w:eastAsiaTheme="majorEastAsia"/>
                <w:sz w:val="22"/>
                <w:szCs w:val="22"/>
              </w:rPr>
              <w:t xml:space="preserve">Destaco que armé la integración continua con GitHub Actions y la protección de la rama main desde el inicio, lo que nos permitió integrar cambios con las pruebas en verde; que medí la segmentación de repisas contra el dataset SHARD con precisión, recall y F1; y que el 21 de octubre terminé los reportes en Excel, CSV y PDF (CU04) antes de su plazo y rehíce las plantillas de casos de uso y los diagramas según la aplicación Django.</w:t>
            </w:r>
          </w:p>
          <w:p>
            <w:pPr>
              <w:spacing w:before="60" w:after="60"/>
              <w:jc w:val="both"/>
            </w:pPr>
            <w:r>
              <w:rPr>
                <w:rFonts w:ascii="Calibri" w:hAnsi="Calibri" w:eastAsiaTheme="majorEastAsia"/>
                <w:sz w:val="22"/>
                <w:szCs w:val="22"/>
              </w:rPr>
              <w:t xml:space="preserve">Para mejorar: al principio participé poco en el código y el plan de mejoras de la Fase 1 se atrasó (plazo 9 de octubre, terminado el 20). Quiero tomar antes los ítems de código, como las correcciones de la aplicación web que vienen, para que mi aporte sea más parejo con el del resto del equipo.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cantSplit/>
          <w:trHeight w:val="440"/>
        </w:trPr>
        <w:tc>
          <w:tcPr>
            <w:tcW w:w="10076" w:type="dxa"/>
            <w:vAlign w:val="center"/>
          </w:tcPr>
          <w:p w14:paraId="56439B9A" w14:textId="77777777" w:rsidR="004F2A8B" w:rsidRPr="00885110" w:rsidRDefault="004F2A8B" w:rsidP="3D28A338">
            <w:pPr>
              <w:keepNext/>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pPr>
              <w:spacing w:before="60" w:after="60"/>
              <w:jc w:val="both"/>
            </w:pPr>
            <w:r>
              <w:rPr>
                <w:rFonts w:ascii="Calibri" w:hAnsi="Calibri" w:eastAsiaTheme="majorEastAsia"/>
                <w:sz w:val="22"/>
                <w:szCs w:val="22"/>
              </w:rPr>
              <w:t xml:space="preserve">¿Qué día exacto es la Evaluación 2 (semana del 28 de octubre)?</w:t>
            </w:r>
          </w:p>
          <w:p>
            <w:pPr>
              <w:spacing w:before="60" w:after="60"/>
              <w:jc w:val="both"/>
            </w:pPr>
            <w:r>
              <w:rPr>
                <w:rFonts w:ascii="Calibri" w:hAnsi="Calibri" w:eastAsiaTheme="majorEastAsia"/>
                <w:sz w:val="22"/>
                <w:szCs w:val="22"/>
              </w:rPr>
              <w:t xml:space="preserve">¿Una aplicación Django con base de datos SQLite cuenta como «estándar de la industria» para el indicador de evidencias?</w:t>
            </w:r>
          </w:p>
          <w:p>
            <w:pPr>
              <w:spacing w:before="60" w:after="60"/>
              <w:jc w:val="both"/>
            </w:pPr>
            <w:r>
              <w:rPr>
                <w:rFonts w:ascii="Calibri" w:hAnsi="Calibri" w:eastAsiaTheme="majorEastAsia"/>
                <w:sz w:val="22"/>
                <w:szCs w:val="22"/>
              </w:rPr>
              <w:t xml:space="preserve">¿Cómo y cuándo será la instalación de la aplicación en el servidor del CITT?</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cantSplit/>
          <w:trHeight w:val="440"/>
        </w:trPr>
        <w:tc>
          <w:tcPr>
            <w:tcW w:w="10076" w:type="dxa"/>
            <w:vAlign w:val="center"/>
          </w:tcPr>
          <w:p w14:paraId="4C38DECD" w14:textId="77777777" w:rsidR="004F2A8B" w:rsidRPr="00885110" w:rsidRDefault="004F2A8B" w:rsidP="3D28A338">
            <w:pPr>
              <w:keepNext/>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pPr>
              <w:spacing w:before="60" w:after="60"/>
              <w:jc w:val="both"/>
            </w:pPr>
            <w:r>
              <w:rPr>
                <w:rFonts w:ascii="Calibri" w:hAnsi="Calibri" w:eastAsiaTheme="majorEastAsia"/>
                <w:sz w:val="22"/>
                <w:szCs w:val="22"/>
              </w:rPr>
              <w:t xml:space="preserve">Sí. El desarrollo estuvo concentrado en Francisco (43 de 62 Pull Requests integrados). Ya empezamos a redistribuir: Mariana tomó y terminó los reportes (CU04) y las plantillas de casos de uso el 21 de octubre, y se propuso que tome dos correcciones de la aplicación web (#52 y #53, al 28 de octubre); Nicko tiene el video de demostración, el primer demo ante Walmart y la feria de informática.</w:t>
            </w:r>
          </w:p>
          <w:p>
            <w:pPr>
              <w:spacing w:before="60" w:after="60"/>
              <w:jc w:val="both"/>
            </w:pPr>
            <w:r>
              <w:rPr>
                <w:rFonts w:ascii="Calibri" w:hAnsi="Calibri" w:eastAsiaTheme="majorEastAsia"/>
                <w:sz w:val="22"/>
                <w:szCs w:val="22"/>
              </w:rPr>
              <w:t xml:space="preserve">Falta asignar el dashboard de disponibilidad (CU03) y la configuración del umbral y las cámaras (CU05). Además, acordamos que cada integrante revise los Pull Requests de otro.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cantSplit/>
          <w:trHeight w:val="440"/>
        </w:trPr>
        <w:tc>
          <w:tcPr>
            <w:tcW w:w="10076" w:type="dxa"/>
            <w:vAlign w:val="center"/>
          </w:tcPr>
          <w:p w14:paraId="741C85EB" w14:textId="5C8D2DC3" w:rsidR="004F2A8B" w:rsidRPr="00885110" w:rsidRDefault="004F2A8B" w:rsidP="00B25651">
            <w:pPr>
              <w:keepNext/>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pPr>
              <w:spacing w:before="60" w:after="60"/>
              <w:jc w:val="both"/>
            </w:pPr>
            <w:r>
              <w:rPr>
                <w:rFonts w:ascii="Calibri" w:hAnsi="Calibri" w:eastAsiaTheme="majorEastAsia"/>
                <w:sz w:val="22"/>
                <w:szCs w:val="22"/>
              </w:rPr>
              <w:t xml:space="preserve">Aspectos positivos: el flujo de trabajo con ramas, Pull Requests e integración continua nos mantuvo ordenados, y la documentación compartida (backlog, Carta Gantt y README) permite que cualquiera retome un ítem donde otro lo dejó.</w:t>
            </w:r>
          </w:p>
          <w:p>
            <w:pPr>
              <w:spacing w:before="60" w:after="60"/>
              <w:jc w:val="both"/>
            </w:pPr>
            <w:r>
              <w:rPr>
                <w:rFonts w:ascii="Calibri" w:hAnsi="Calibri" w:eastAsiaTheme="majorEastAsia"/>
                <w:sz w:val="22"/>
                <w:szCs w:val="22"/>
              </w:rPr>
              <w:t xml:space="preserve">Aspectos por mejorar: la carga de trabajo estuvo concentrada en un integrante y nos faltó comunicar a tiempo los atrasos y los plazos, como en la semana del 12 al 16 de octubre. Queremos repartir los ítems de forma más pareja y avisar antes cuando alguien no pueda avanzar.</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