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Evaluation – Lauf Prompt V6 (Copilot-Fragebogen)</w:t>
      </w:r>
    </w:p>
    <w:p>
      <w:pPr/>
      <w:r>
        <w:t xml:space="preserve">Oct 16, 2026</w:t>
      </w:r>
      <w:r>
        <w:t xml:space="preserve"> · </w:t>
      </w:r>
      <w:r>
        <w:t xml:space="preserve">@Marianna</w:t>
      </w:r>
    </w:p>
    <w:p>
      <w:pPr>
        <w:pStyle w:val="Heading2"/>
      </w:pPr>
      <w:r>
        <w:t xml:space="preserve">Gegenstand und Vorgehen</w:t>
      </w:r>
    </w:p>
    <w:p>
      <w:pPr/>
      <w:r>
        <w:t xml:space="preserve">Der Lauf mit Prompt V6 erzeugt keine erfundenen Items: Alle 59 Originalitems stimmen wörtlich mit D1-Q3 bzw. S2 (Table 1, S. 112) überein. Die Prüfung ergab 8 Befunde, davon 1 schwer.</w:t>
      </w:r>
    </w:p>
    <w:p>
      <w:pPr>
        <w:pStyle w:val="ListParagraph"/>
        <w:numPr>
          <w:ilvl w:val="0"/>
          <w:numId w:val="2"/>
        </w:numPr>
      </w:pPr>
      <w:r>
        <w:rPr>
          <w:b/>
        </w:rPr>
        <w:t xml:space="preserve">Geprüfter Gegenstand:</w:t>
      </w:r>
      <w:r>
        <w:t xml:space="preserve"> Fragebogen „Copilot-Akzeptanz – Inventar und Fragebogen“, Teil II (59 Items, Instruktion, Tabellen A–D, Hypothesen, Literatur).</w:t>
      </w:r>
    </w:p>
    <w:p>
      <w:pPr>
        <w:pStyle w:val="ListParagraph"/>
        <w:numPr>
          <w:ilvl w:val="0"/>
          <w:numId w:val="2"/>
        </w:numPr>
      </w:pPr>
      <w:r>
        <w:rPr>
          <w:b/>
        </w:rPr>
        <w:t xml:space="preserve">Prüfquellen:</w:t>
      </w:r>
      <w:r>
        <w:t xml:space="preserve"> Itemkatalog D1-Q3, P3 (Paetow et al., 2026), S2 (Sindermann et al., 2021).</w:t>
      </w:r>
    </w:p>
    <w:p>
      <w:pPr>
        <w:pStyle w:val="ListParagraph"/>
        <w:numPr>
          <w:ilvl w:val="0"/>
          <w:numId w:val="2"/>
        </w:numPr>
      </w:pPr>
      <w:r>
        <w:rPr>
          <w:b/>
        </w:rPr>
        <w:t xml:space="preserve">Prüfkriterien:</w:t>
      </w:r>
      <w:r>
        <w:t xml:space="preserve"> 0 Quellenechtheit, A Theorievermischung, B Double-Barreled, C Suggestivität/Verständlichkeit, D Quellenangaben.</w:t>
      </w:r>
    </w:p>
    <w:p>
      <w:pPr>
        <w:pStyle w:val="ListParagraph"/>
        <w:numPr>
          <w:ilvl w:val="0"/>
          <w:numId w:val="2"/>
        </w:numPr>
      </w:pPr>
      <w:r>
        <w:rPr>
          <w:b/>
        </w:rPr>
        <w:t xml:space="preserve">Schweregrade:</w:t>
      </w:r>
      <w:r>
        <w:t xml:space="preserve"> schwer = misst nicht, was es messen soll (immer bei 0 und A); mittel = Validität oder Nachvollziehbarkeit eingeschränkt; gering = formale oder sprachliche Unschärfe.</w:t>
      </w:r>
    </w:p>
    <w:p>
      <w:pPr>
        <w:pStyle w:val="ListParagraph"/>
        <w:numPr>
          <w:ilvl w:val="0"/>
          <w:numId w:val="2"/>
        </w:numPr>
      </w:pPr>
      <w:r>
        <w:rPr>
          <w:b/>
        </w:rPr>
        <w:t xml:space="preserve">Einschränkung:</w:t>
      </w:r>
      <w:r>
        <w:t xml:space="preserve"> Ein einzelner Lauf, geprüft von derselben Modellfamilie, die den Fragebogen erstellt hat [eigene Bewertung].</w:t>
      </w:r>
    </w:p>
    <w:p>
      <w:pPr>
        <w:pStyle w:val="Heading2"/>
      </w:pPr>
      <w:r>
        <w:t xml:space="preserve">Befunde</w:t>
      </w:r>
    </w:p>
    <w:p>
      <w:pPr/>
      <w:r>
        <w:t xml:space="preserve">Der einzige schwere Befund betrifft die Theoriezuordnung von BI; die übrigen sieben schränken Validität oder Nachvollziehbarkeit nur begrenzt ein.</w:t>
      </w:r>
    </w:p>
    <w:tbl>
      <w:tblPr>
        <w:tblStyle w:val="TableGrid"/>
        <w:tblW w:w="0" w:type="auto"/>
        <w:tblLayout w:type="fixed"/>
        <w:tblLook w:val="04A0" w:firstRow="1" w:lastRow="0" w:firstColumn="0" w:lastColumn="0" w:noHBand="0" w:noVBand="1"/>
      </w:tblPr>
      <w:tblGrid>
        <w:gridCol w:w="1337"/>
        <w:gridCol w:w="1337"/>
        <w:gridCol w:w="1337"/>
        <w:gridCol w:w="1337"/>
        <w:gridCol w:w="1337"/>
        <w:gridCol w:w="1337"/>
        <w:gridCol w:w="1337"/>
      </w:tblGrid>
      <w:tr>
        <w:trPr>
          <w:tblHeader/>
        </w:trPr>
        <w:tc>
          <w:tcPr>
            <w:tcW w:w="1337" w:type="dxa"/>
            <w:shd w:val="clear" w:color="auto" w:fill="F2F2F2"/>
          </w:tcPr>
          <w:p>
            <w:pPr/>
            <w:r>
              <w:t xml:space="preserve">Nr.</w:t>
            </w:r>
          </w:p>
        </w:tc>
        <w:tc>
          <w:tcPr>
            <w:tcW w:w="1337" w:type="dxa"/>
            <w:shd w:val="clear" w:color="auto" w:fill="F2F2F2"/>
          </w:tcPr>
          <w:p>
            <w:pPr/>
            <w:r>
              <w:t xml:space="preserve">Kriterium</w:t>
            </w:r>
          </w:p>
        </w:tc>
        <w:tc>
          <w:tcPr>
            <w:tcW w:w="1337" w:type="dxa"/>
            <w:shd w:val="clear" w:color="auto" w:fill="F2F2F2"/>
          </w:tcPr>
          <w:p>
            <w:pPr/>
            <w:r>
              <w:t xml:space="preserve">Fundstelle</w:t>
            </w:r>
          </w:p>
        </w:tc>
        <w:tc>
          <w:tcPr>
            <w:tcW w:w="1337" w:type="dxa"/>
            <w:shd w:val="clear" w:color="auto" w:fill="F2F2F2"/>
          </w:tcPr>
          <w:p>
            <w:pPr/>
            <w:r>
              <w:t xml:space="preserve">Befund</w:t>
            </w:r>
          </w:p>
        </w:tc>
        <w:tc>
          <w:tcPr>
            <w:tcW w:w="1337" w:type="dxa"/>
            <w:shd w:val="clear" w:color="auto" w:fill="F2F2F2"/>
          </w:tcPr>
          <w:p>
            <w:pPr/>
            <w:r>
              <w:t xml:space="preserve">Schwere</w:t>
            </w:r>
          </w:p>
        </w:tc>
        <w:tc>
          <w:tcPr>
            <w:tcW w:w="1337" w:type="dxa"/>
            <w:shd w:val="clear" w:color="auto" w:fill="F2F2F2"/>
          </w:tcPr>
          <w:p>
            <w:pPr/>
            <w:r>
              <w:t xml:space="preserve">Korrekturvorschlag</w:t>
            </w:r>
          </w:p>
        </w:tc>
        <w:tc>
          <w:tcPr>
            <w:tcW w:w="1337" w:type="dxa"/>
            <w:shd w:val="clear" w:color="auto" w:fill="F2F2F2"/>
          </w:tcPr>
          <w:p>
            <w:pPr/>
            <w:r>
              <w:t xml:space="preserve">Beleg</w:t>
            </w:r>
          </w:p>
        </w:tc>
      </w:tr>
      <w:tr>
        <w:tc>
          <w:tcPr>
            <w:tcW w:w="1337" w:type="dxa"/>
          </w:tcPr>
          <w:p>
            <w:pPr/>
            <w:r>
              <w:t xml:space="preserve">1</w:t>
            </w:r>
          </w:p>
        </w:tc>
        <w:tc>
          <w:tcPr>
            <w:tcW w:w="1337" w:type="dxa"/>
          </w:tcPr>
          <w:p>
            <w:pPr/>
            <w:r>
              <w:t xml:space="preserve">A Theorievermischung</w:t>
            </w:r>
          </w:p>
        </w:tc>
        <w:tc>
          <w:tcPr>
            <w:tcW w:w="1337" w:type="dxa"/>
          </w:tcPr>
          <w:p>
            <w:pPr/>
            <w:r>
              <w:t xml:space="preserve">Tabelle A (BI), Tabelle C (H2), Tabelle D</w:t>
            </w:r>
          </w:p>
        </w:tc>
        <w:tc>
          <w:tcPr>
            <w:tcW w:w="1337" w:type="dxa"/>
          </w:tcPr>
          <w:p>
            <w:pPr/>
            <w:r>
              <w:t xml:space="preserve">BI wird dem TTF-Modell zugeordnet, stammt laut Quelle aber aus UTAUT. H2 verbindet damit einen TTF-Prädiktor mit einem UTAUT-Kriterium; Tabelle D meldet trotzdem „erfüllt“. Die Items selbst sind korrekt, da P3 genau diese Kombination geprüft hat.</w:t>
            </w:r>
          </w:p>
        </w:tc>
        <w:tc>
          <w:tcPr>
            <w:tcW w:w="1337" w:type="dxa"/>
          </w:tcPr>
          <w:p>
            <w:pPr/>
            <w:r>
              <w:t xml:space="preserve">schwer</w:t>
            </w:r>
          </w:p>
        </w:tc>
        <w:tc>
          <w:tcPr>
            <w:tcW w:w="1337" w:type="dxa"/>
          </w:tcPr>
          <w:p>
            <w:pPr/>
            <w:r>
              <w:t xml:space="preserve">Theorie BI: „UTAUT (Venkatesh et al., 2003, zit. n. Paetow et al., 2026, S. 322)“. H2 als theorieübergreifend, in P3 geprüft kennzeichnen. Tabelle D: „Abweichung dokumentiert“. Items unverändert.</w:t>
            </w:r>
          </w:p>
        </w:tc>
        <w:tc>
          <w:tcPr>
            <w:tcW w:w="1337" w:type="dxa"/>
          </w:tcPr>
          <w:p>
            <w:pPr/>
            <w:r>
              <w:t xml:space="preserve">„BI (3 items) was adapted from UTAUT (Venkatesh et al., 2003), and PERF (3 items) from the original TTF model (Goodhue &amp; Thompson, 1995).“ (P3, S. 322); „TTF relates not only perceived performance, as suggested by Goodhue &amp; Thompson’s original model, but also to behavioral intention to use VR.“ (P3, S. 326)</w:t>
            </w:r>
          </w:p>
        </w:tc>
      </w:tr>
      <w:tr>
        <w:tc>
          <w:tcPr>
            <w:tcW w:w="1337" w:type="dxa"/>
          </w:tcPr>
          <w:p>
            <w:pPr/>
            <w:r>
              <w:t xml:space="preserve">2</w:t>
            </w:r>
          </w:p>
        </w:tc>
        <w:tc>
          <w:tcPr>
            <w:tcW w:w="1337" w:type="dxa"/>
          </w:tcPr>
          <w:p>
            <w:pPr/>
            <w:r>
              <w:t xml:space="preserve">D Quellenangaben</w:t>
            </w:r>
          </w:p>
        </w:tc>
        <w:tc>
          <w:tcPr>
            <w:tcW w:w="1337" w:type="dxa"/>
          </w:tcPr>
          <w:p>
            <w:pPr/>
            <w:r>
              <w:t xml:space="preserve">Inventar C1/C2, Tabelle A (BI, PERF)</w:t>
            </w:r>
          </w:p>
        </w:tc>
        <w:tc>
          <w:tcPr>
            <w:tcW w:w="1337" w:type="dxa"/>
          </w:tcPr>
          <w:p>
            <w:pPr/>
            <w:r>
              <w:t xml:space="preserve">Die Herkunft der Originalitems (Venkatesh et al., 2003; Goodhue &amp; Thompson, 1995) fehlt, auch als Sekundärzitat.</w:t>
            </w:r>
          </w:p>
        </w:tc>
        <w:tc>
          <w:tcPr>
            <w:tcW w:w="1337" w:type="dxa"/>
          </w:tcPr>
          <w:p>
            <w:pPr/>
            <w:r>
              <w:t xml:space="preserve">gering</w:t>
            </w:r>
          </w:p>
        </w:tc>
        <w:tc>
          <w:tcPr>
            <w:tcW w:w="1337" w:type="dxa"/>
          </w:tcPr>
          <w:p>
            <w:pPr/>
            <w:r>
              <w:t xml:space="preserve">In C2 und Tabelle A ergänzen: „adaptiert aus …, zit. n. Paetow et al. (2026, S. 322)“; beide Werke bei den Sekundärquellen im Text aufführen.</w:t>
            </w:r>
          </w:p>
        </w:tc>
        <w:tc>
          <w:tcPr>
            <w:tcW w:w="1337" w:type="dxa"/>
          </w:tcPr>
          <w:p>
            <w:pPr/>
            <w:r>
              <w:t xml:space="preserve">P3, S. 322 (wie Nr. 1)</w:t>
            </w:r>
          </w:p>
        </w:tc>
      </w:tr>
      <w:tr>
        <w:tc>
          <w:tcPr>
            <w:tcW w:w="1337" w:type="dxa"/>
          </w:tcPr>
          <w:p>
            <w:pPr/>
            <w:r>
              <w:t xml:space="preserve">3</w:t>
            </w:r>
          </w:p>
        </w:tc>
        <w:tc>
          <w:tcPr>
            <w:tcW w:w="1337" w:type="dxa"/>
          </w:tcPr>
          <w:p>
            <w:pPr/>
            <w:r>
              <w:t xml:space="preserve">C Verständlichkeit (Instruktion)</w:t>
            </w:r>
          </w:p>
        </w:tc>
        <w:tc>
          <w:tcPr>
            <w:tcW w:w="1337" w:type="dxa"/>
          </w:tcPr>
          <w:p>
            <w:pPr/>
            <w:r>
              <w:t xml:space="preserve">Technologiebeschreibung; TTF-, BI-, PERF-Items</w:t>
            </w:r>
          </w:p>
        </w:tc>
        <w:tc>
          <w:tcPr>
            <w:tcW w:w="1337" w:type="dxa"/>
          </w:tcPr>
          <w:p>
            <w:pPr/>
            <w:r>
              <w:t xml:space="preserve">Beschreibung neutral und gekennzeichnet, aber nur zwei Sätze. Die Quelle beschreibt in vier Teilen mit Abbildungen und erhebt danach Technologiemerkmale. Ohne Nutzungserfahrung fehlt die Urteilsbasis für acht Aufgabentypen.</w:t>
            </w:r>
          </w:p>
        </w:tc>
        <w:tc>
          <w:tcPr>
            <w:tcW w:w="1337" w:type="dxa"/>
          </w:tcPr>
          <w:p>
            <w:pPr/>
            <w:r>
              <w:t xml:space="preserve">mittel</w:t>
            </w:r>
          </w:p>
        </w:tc>
        <w:tc>
          <w:tcPr>
            <w:tcW w:w="1337" w:type="dxa"/>
          </w:tcPr>
          <w:p>
            <w:pPr/>
            <w:r>
              <w:t xml:space="preserve">Beschreibung nach D1-Q3 gliedern (Allgemeine Beschreibung, Wahrnehmung, Interaktion, Nutzungskontext); Inhalte aus Einführungsunterlagen zu den Einsatzfeldern, Modalverben, ohne Vorteile, Quelle bzw. [Modellwissen] kennzeichnen.</w:t>
            </w:r>
          </w:p>
        </w:tc>
        <w:tc>
          <w:tcPr>
            <w:tcW w:w="1337" w:type="dxa"/>
          </w:tcPr>
          <w:p>
            <w:pPr/>
            <w:r>
              <w:t xml:space="preserve">„VR was introduced as a prospective work tool through descriptions that used text and images“ (P3, S. 322); „participants were shown VR as description using text and images rather than experiencing it directly“ (P3, S. 326)</w:t>
            </w:r>
          </w:p>
        </w:tc>
      </w:tr>
      <w:tr>
        <w:tc>
          <w:tcPr>
            <w:tcW w:w="1337" w:type="dxa"/>
          </w:tcPr>
          <w:p>
            <w:pPr/>
            <w:r>
              <w:t xml:space="preserve">4</w:t>
            </w:r>
          </w:p>
        </w:tc>
        <w:tc>
          <w:tcPr>
            <w:tcW w:w="1337" w:type="dxa"/>
          </w:tcPr>
          <w:p>
            <w:pPr/>
            <w:r>
              <w:t xml:space="preserve">C Verständlichkeit</w:t>
            </w:r>
          </w:p>
        </w:tc>
        <w:tc>
          <w:tcPr>
            <w:tcW w:w="1337" w:type="dxa"/>
          </w:tcPr>
          <w:p>
            <w:pPr/>
            <w:r>
              <w:t xml:space="preserve">Block 3, alle 24 TTF-Items</w:t>
            </w:r>
          </w:p>
        </w:tc>
        <w:tc>
          <w:tcPr>
            <w:tcW w:w="1337" w:type="dxa"/>
          </w:tcPr>
          <w:p>
            <w:pPr/>
            <w:r>
              <w:t xml:space="preserve">Moduswechsel im Block: Instruktion und Blockfrage im Konjunktiv („könnte“), Items im Indikativ („kann“). Die Wie-gut-Frage passt nicht zur Zustimmungsskala.</w:t>
            </w:r>
          </w:p>
        </w:tc>
        <w:tc>
          <w:tcPr>
            <w:tcW w:w="1337" w:type="dxa"/>
          </w:tcPr>
          <w:p>
            <w:pPr/>
            <w:r>
              <w:t xml:space="preserve">gering</w:t>
            </w:r>
          </w:p>
        </w:tc>
        <w:tc>
          <w:tcPr>
            <w:tcW w:w="1337" w:type="dxa"/>
          </w:tcPr>
          <w:p>
            <w:pPr/>
            <w:r>
              <w:t xml:space="preserve">Items an EN-Fassung angleichen: „… unterstützen könnte, …“ (Ü); Blockfrage als Überschrift, z. B. „Planungsaufgaben“ [eigene Bewertung].</w:t>
            </w:r>
          </w:p>
        </w:tc>
        <w:tc>
          <w:tcPr>
            <w:tcW w:w="1337" w:type="dxa"/>
          </w:tcPr>
          <w:p>
            <w:pPr/>
            <w:r>
              <w:t xml:space="preserve">D1-Q3: TTF-Itemstamm DE „unterstützen könnte“; EN „could support“</w:t>
            </w:r>
          </w:p>
        </w:tc>
      </w:tr>
      <w:tr>
        <w:tc>
          <w:tcPr>
            <w:tcW w:w="1337" w:type="dxa"/>
          </w:tcPr>
          <w:p>
            <w:pPr/>
            <w:r>
              <w:t xml:space="preserve">5</w:t>
            </w:r>
          </w:p>
        </w:tc>
        <w:tc>
          <w:tcPr>
            <w:tcW w:w="1337" w:type="dxa"/>
          </w:tcPr>
          <w:p>
            <w:pPr/>
            <w:r>
              <w:t xml:space="preserve">C Verstärker</w:t>
            </w:r>
          </w:p>
        </w:tc>
        <w:tc>
          <w:tcPr>
            <w:tcW w:w="1337" w:type="dxa"/>
          </w:tcPr>
          <w:p>
            <w:pPr/>
            <w:r>
              <w:t xml:space="preserve">D1-Q3-TTF-EXE-3</w:t>
            </w:r>
          </w:p>
        </w:tc>
        <w:tc>
          <w:tcPr>
            <w:tcW w:w="1337" w:type="dxa"/>
          </w:tcPr>
          <w:p>
            <w:pPr/>
            <w:r>
              <w:t xml:space="preserve">„strikt“ fehlt im parallelen Filteritem TC-EXE-3. Keine Validierung stützt es, da TTF nur Einzelindikator ohne Itemkennwerte ist.</w:t>
            </w:r>
          </w:p>
        </w:tc>
        <w:tc>
          <w:tcPr>
            <w:tcW w:w="1337" w:type="dxa"/>
          </w:tcPr>
          <w:p>
            <w:pPr/>
            <w:r>
              <w:t xml:space="preserve">gering</w:t>
            </w:r>
          </w:p>
        </w:tc>
        <w:tc>
          <w:tcPr>
            <w:tcW w:w="1337" w:type="dxa"/>
          </w:tcPr>
          <w:p>
            <w:pPr/>
            <w:r>
              <w:t xml:space="preserve">„strikt“ streichen (I, Beleg: Parallelität zu TC-EXE-3).</w:t>
            </w:r>
          </w:p>
        </w:tc>
        <w:tc>
          <w:tcPr>
            <w:tcW w:w="1337" w:type="dxa"/>
          </w:tcPr>
          <w:p>
            <w:pPr/>
            <w:r>
              <w:t xml:space="preserve">„TTF was modeled as a participant-specific single-indicator variable“ (P3, S. 323)</w:t>
            </w:r>
          </w:p>
        </w:tc>
      </w:tr>
      <w:tr>
        <w:tc>
          <w:tcPr>
            <w:tcW w:w="1337" w:type="dxa"/>
          </w:tcPr>
          <w:p>
            <w:pPr/>
            <w:r>
              <w:t xml:space="preserve">6</w:t>
            </w:r>
          </w:p>
        </w:tc>
        <w:tc>
          <w:tcPr>
            <w:tcW w:w="1337" w:type="dxa"/>
          </w:tcPr>
          <w:p>
            <w:pPr/>
            <w:r>
              <w:t xml:space="preserve">C Polung</w:t>
            </w:r>
          </w:p>
        </w:tc>
        <w:tc>
          <w:tcPr>
            <w:tcW w:w="1337" w:type="dxa"/>
          </w:tcPr>
          <w:p>
            <w:pPr/>
            <w:r>
              <w:t xml:space="preserve">TTF-, BI-, PERF-Items</w:t>
            </w:r>
          </w:p>
        </w:tc>
        <w:tc>
          <w:tcPr>
            <w:tcW w:w="1337" w:type="dxa"/>
          </w:tcPr>
          <w:p>
            <w:pPr/>
            <w:r>
              <w:t xml:space="preserve">Alle Items gleich gepolt; für BI und PERF durch Validierung gedeckt, für TTF nicht. Pretest-Prüfpunkt vorhanden.</w:t>
            </w:r>
          </w:p>
        </w:tc>
        <w:tc>
          <w:tcPr>
            <w:tcW w:w="1337" w:type="dxa"/>
          </w:tcPr>
          <w:p>
            <w:pPr/>
            <w:r>
              <w:t xml:space="preserve">gering</w:t>
            </w:r>
          </w:p>
        </w:tc>
        <w:tc>
          <w:tcPr>
            <w:tcW w:w="1337" w:type="dxa"/>
          </w:tcPr>
          <w:p>
            <w:pPr/>
            <w:r>
              <w:t xml:space="preserve">Nicht umpolen; Begründung ergänzen: BI/PERF-Ladungen &gt; 0.708, TTF bleibt Pretest-Prüfpunkt.</w:t>
            </w:r>
          </w:p>
        </w:tc>
        <w:tc>
          <w:tcPr>
            <w:tcW w:w="1337" w:type="dxa"/>
          </w:tcPr>
          <w:p>
            <w:pPr/>
            <w:r>
              <w:t xml:space="preserve">„all outer loadings for reflective constructs exceeding the 0.708 threshold“ (P3, S. 323)</w:t>
            </w:r>
          </w:p>
        </w:tc>
      </w:tr>
      <w:tr>
        <w:tc>
          <w:tcPr>
            <w:tcW w:w="1337" w:type="dxa"/>
          </w:tcPr>
          <w:p>
            <w:pPr/>
            <w:r>
              <w:t xml:space="preserve">7</w:t>
            </w:r>
          </w:p>
        </w:tc>
        <w:tc>
          <w:tcPr>
            <w:tcW w:w="1337" w:type="dxa"/>
          </w:tcPr>
          <w:p>
            <w:pPr/>
            <w:r>
              <w:t xml:space="preserve">D Widerspruch</w:t>
            </w:r>
          </w:p>
        </w:tc>
        <w:tc>
          <w:tcPr>
            <w:tcW w:w="1337" w:type="dxa"/>
          </w:tcPr>
          <w:p>
            <w:pPr/>
            <w:r>
              <w:t xml:space="preserve">Inventar 1a; ⚠ Nr. 4; Offene Punkte Nr. 10</w:t>
            </w:r>
          </w:p>
        </w:tc>
        <w:tc>
          <w:tcPr>
            <w:tcW w:w="1337" w:type="dxa"/>
          </w:tcPr>
          <w:p>
            <w:pPr/>
            <w:r>
              <w:t xml:space="preserve">Angeblich zehn Dateien, „Kopie“-Dateien nicht ausgewertet. In den Quellen liegen P1–P3 nur als „Kopie“ vor (8 PDFs + D1).</w:t>
            </w:r>
          </w:p>
        </w:tc>
        <w:tc>
          <w:tcPr>
            <w:tcW w:w="1337" w:type="dxa"/>
          </w:tcPr>
          <w:p>
            <w:pPr/>
            <w:r>
              <w:t xml:space="preserve">gering</w:t>
            </w:r>
          </w:p>
        </w:tc>
        <w:tc>
          <w:tcPr>
            <w:tcW w:w="1337" w:type="dxa"/>
          </w:tcPr>
          <w:p>
            <w:pPr/>
            <w:r>
              <w:t xml:space="preserve">Dateianzahl korrigieren; angeben, dass P1–P3 aus den „Kopie“-Dateien stammen; ⚠ Nr. 4 und Offenen Punkt 10 streichen.</w:t>
            </w:r>
          </w:p>
        </w:tc>
        <w:tc>
          <w:tcPr>
            <w:tcW w:w="1337" w:type="dxa"/>
          </w:tcPr>
          <w:p>
            <w:pPr/>
            <w:r>
              <w:t xml:space="preserve">Dateiliste der Quellen</w:t>
            </w:r>
          </w:p>
        </w:tc>
      </w:tr>
      <w:tr>
        <w:tc>
          <w:tcPr>
            <w:tcW w:w="1337" w:type="dxa"/>
          </w:tcPr>
          <w:p>
            <w:pPr/>
            <w:r>
              <w:t xml:space="preserve">8</w:t>
            </w:r>
          </w:p>
        </w:tc>
        <w:tc>
          <w:tcPr>
            <w:tcW w:w="1337" w:type="dxa"/>
          </w:tcPr>
          <w:p>
            <w:pPr/>
            <w:r>
              <w:t xml:space="preserve">D Änderung dokumentiert</w:t>
            </w:r>
          </w:p>
        </w:tc>
        <w:tc>
          <w:tcPr>
            <w:tcW w:w="1337" w:type="dxa"/>
          </w:tcPr>
          <w:p>
            <w:pPr/>
            <w:r>
              <w:t xml:space="preserve">Blockreihenfolge (ATAI als Block 1)</w:t>
            </w:r>
          </w:p>
        </w:tc>
        <w:tc>
          <w:tcPr>
            <w:tcW w:w="1337" w:type="dxa"/>
          </w:tcPr>
          <w:p>
            <w:pPr/>
            <w:r>
              <w:t xml:space="preserve">In der Quelle standen Produktitems vor ATAI; die Umstellung ist nicht dokumentiert.</w:t>
            </w:r>
          </w:p>
        </w:tc>
        <w:tc>
          <w:tcPr>
            <w:tcW w:w="1337" w:type="dxa"/>
          </w:tcPr>
          <w:p>
            <w:pPr/>
            <w:r>
              <w:t xml:space="preserve">gering</w:t>
            </w:r>
          </w:p>
        </w:tc>
        <w:tc>
          <w:tcPr>
            <w:tcW w:w="1337" w:type="dxa"/>
          </w:tcPr>
          <w:p>
            <w:pPr/>
            <w:r>
              <w:t xml:space="preserve">Abweichung mit Beleg dokumentieren oder ATAI nach Block 5 stellen.</w:t>
            </w:r>
          </w:p>
        </w:tc>
        <w:tc>
          <w:tcPr>
            <w:tcW w:w="1337" w:type="dxa"/>
          </w:tcPr>
          <w:p>
            <w:pPr/>
            <w:r>
              <w:t xml:space="preserve">„in the initial online survey … the items on AI products were presented before the ATAI scale“ (S2, S. 112)</w:t>
            </w:r>
          </w:p>
        </w:tc>
      </w:tr>
    </w:tbl>
    <w:p>
      <w:pPr>
        <w:pStyle w:val="Heading2"/>
      </w:pPr>
      <w:r>
        <w:t xml:space="preserve">Geprüft ohne Befund</w:t>
      </w:r>
    </w:p>
    <w:p>
      <w:pPr>
        <w:pStyle w:val="ListParagraph"/>
        <w:numPr>
          <w:ilvl w:val="0"/>
          <w:numId w:val="3"/>
        </w:numPr>
      </w:pPr>
      <w:r>
        <w:rPr>
          <w:b/>
        </w:rPr>
        <w:t xml:space="preserve">S2-01 bis S2-05:</w:t>
      </w:r>
      <w:r>
        <w:t xml:space="preserve"> Wortlaut und Faktorzuordnung korrekt; S2-05 trotz Ladung 0.42 durch S2, S. 116, gedeckt.</w:t>
      </w:r>
    </w:p>
    <w:p>
      <w:pPr>
        <w:pStyle w:val="ListParagraph"/>
        <w:numPr>
          <w:ilvl w:val="0"/>
          <w:numId w:val="3"/>
        </w:numPr>
      </w:pPr>
      <w:r>
        <w:rPr>
          <w:b/>
        </w:rPr>
        <w:t xml:space="preserve">TC-Items:</w:t>
      </w:r>
      <w:r>
        <w:t xml:space="preserve"> Begriffspaare in CRE-1, INT-2 und JUD-2 inhaltlich eindimensional und dokumentiert; EXE-3 als Filteritem begründet beibehalten.</w:t>
      </w:r>
    </w:p>
    <w:p>
      <w:pPr>
        <w:pStyle w:val="ListParagraph"/>
        <w:numPr>
          <w:ilvl w:val="0"/>
          <w:numId w:val="3"/>
        </w:numPr>
      </w:pPr>
      <w:r>
        <w:rPr>
          <w:b/>
        </w:rPr>
        <w:t xml:space="preserve">TTF-MIX-3:</w:t>
      </w:r>
      <w:r>
        <w:t xml:space="preserve"> Abweichung zum Filteritem dokumentiert.</w:t>
      </w:r>
    </w:p>
    <w:p>
      <w:pPr>
        <w:pStyle w:val="ListParagraph"/>
        <w:numPr>
          <w:ilvl w:val="0"/>
          <w:numId w:val="3"/>
        </w:numPr>
      </w:pPr>
      <w:r>
        <w:rPr>
          <w:b/>
        </w:rPr>
        <w:t xml:space="preserve">H1:</w:t>
      </w:r>
      <w:r>
        <w:t xml:space="preserve"> Prädiktor und Kriterium aus dem TTF-Modell, beide gemessen.</w:t>
      </w:r>
    </w:p>
    <w:p>
      <w:pPr>
        <w:pStyle w:val="ListParagraph"/>
        <w:numPr>
          <w:ilvl w:val="0"/>
          <w:numId w:val="3"/>
        </w:numPr>
      </w:pPr>
      <w:r>
        <w:rPr>
          <w:b/>
        </w:rPr>
        <w:t xml:space="preserve">Instruktion und Auswertung:</w:t>
      </w:r>
      <w:r>
        <w:t xml:space="preserve"> Anonymitätshinweis vorhanden; ATAI und P3 getrennt ausgewertet.</w:t>
      </w:r>
    </w:p>
    <w:p>
      <w:pPr>
        <w:pStyle w:val="ListParagraph"/>
        <w:numPr>
          <w:ilvl w:val="0"/>
          <w:numId w:val="3"/>
        </w:numPr>
      </w:pPr>
      <w:r>
        <w:rPr>
          <w:b/>
        </w:rPr>
        <w:t xml:space="preserve">Literaturverzeichnis:</w:t>
      </w:r>
      <w:r>
        <w:t xml:space="preserve"> APA-konform.</w:t>
      </w:r>
    </w:p>
    <w:p>
      <w:pPr>
        <w:pStyle w:val="Heading2"/>
      </w:pPr>
      <w:r>
        <w:t xml:space="preserve">Übersicht</w:t>
      </w:r>
    </w:p>
    <w:p>
      <w:pPr/>
      <w:r>
        <w:t xml:space="preserve">8 Befunde: 1 schwer, 1 mittel, 6 gering; keine Befunde zu Quellenechtheit und Double-Barreled.</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Merkmal</w:t>
            </w:r>
          </w:p>
        </w:tc>
        <w:tc>
          <w:tcPr>
            <w:tcW w:w="4680" w:type="dxa"/>
            <w:shd w:val="clear" w:color="auto" w:fill="F2F2F2"/>
          </w:tcPr>
          <w:p>
            <w:pPr/>
            <w:r>
              <w:t xml:space="preserve">Wert</w:t>
            </w:r>
          </w:p>
        </w:tc>
      </w:tr>
      <w:tr>
        <w:tc>
          <w:tcPr>
            <w:tcW w:w="4680" w:type="dxa"/>
          </w:tcPr>
          <w:p>
            <w:pPr/>
            <w:r>
              <w:t xml:space="preserve">Geprüfte Items</w:t>
            </w:r>
          </w:p>
        </w:tc>
        <w:tc>
          <w:tcPr>
            <w:tcW w:w="4680" w:type="dxa"/>
          </w:tcPr>
          <w:p>
            <w:pPr/>
            <w:r>
              <w:t xml:space="preserve">59 (ATAI 5, TC-Filter 24, TTF 24, BI 3, PERF 3), dazu Instruktion, 2 Hypothesen, Literaturverzeichnis</w:t>
            </w:r>
          </w:p>
        </w:tc>
      </w:tr>
      <w:tr>
        <w:tc>
          <w:tcPr>
            <w:tcW w:w="4680" w:type="dxa"/>
          </w:tcPr>
          <w:p>
            <w:pPr/>
            <w:r>
              <w:t xml:space="preserve">0 Quellenechtheit</w:t>
            </w:r>
          </w:p>
        </w:tc>
        <w:tc>
          <w:tcPr>
            <w:tcW w:w="4680" w:type="dxa"/>
          </w:tcPr>
          <w:p>
            <w:pPr/>
            <w:r>
              <w:t xml:space="preserve">0</w:t>
            </w:r>
          </w:p>
        </w:tc>
      </w:tr>
      <w:tr>
        <w:tc>
          <w:tcPr>
            <w:tcW w:w="4680" w:type="dxa"/>
          </w:tcPr>
          <w:p>
            <w:pPr/>
            <w:r>
              <w:t xml:space="preserve">A Theorievermischung</w:t>
            </w:r>
          </w:p>
        </w:tc>
        <w:tc>
          <w:tcPr>
            <w:tcW w:w="4680" w:type="dxa"/>
          </w:tcPr>
          <w:p>
            <w:pPr/>
            <w:r>
              <w:t xml:space="preserve">1 (schwer)</w:t>
            </w:r>
          </w:p>
        </w:tc>
      </w:tr>
      <w:tr>
        <w:tc>
          <w:tcPr>
            <w:tcW w:w="4680" w:type="dxa"/>
          </w:tcPr>
          <w:p>
            <w:pPr/>
            <w:r>
              <w:t xml:space="preserve">B Double-Barreled</w:t>
            </w:r>
          </w:p>
        </w:tc>
        <w:tc>
          <w:tcPr>
            <w:tcW w:w="4680" w:type="dxa"/>
          </w:tcPr>
          <w:p>
            <w:pPr/>
            <w:r>
              <w:t xml:space="preserve">0</w:t>
            </w:r>
          </w:p>
        </w:tc>
      </w:tr>
      <w:tr>
        <w:tc>
          <w:tcPr>
            <w:tcW w:w="4680" w:type="dxa"/>
          </w:tcPr>
          <w:p>
            <w:pPr/>
            <w:r>
              <w:t xml:space="preserve">C Suggestivität/Verständlichkeit</w:t>
            </w:r>
          </w:p>
        </w:tc>
        <w:tc>
          <w:tcPr>
            <w:tcW w:w="4680" w:type="dxa"/>
          </w:tcPr>
          <w:p>
            <w:pPr/>
            <w:r>
              <w:t xml:space="preserve">4 (1 mittel, 3 gering)</w:t>
            </w:r>
          </w:p>
        </w:tc>
      </w:tr>
      <w:tr>
        <w:tc>
          <w:tcPr>
            <w:tcW w:w="4680" w:type="dxa"/>
          </w:tcPr>
          <w:p>
            <w:pPr/>
            <w:r>
              <w:t xml:space="preserve">D Quellenangaben</w:t>
            </w:r>
          </w:p>
        </w:tc>
        <w:tc>
          <w:tcPr>
            <w:tcW w:w="4680" w:type="dxa"/>
          </w:tcPr>
          <w:p>
            <w:pPr/>
            <w:r>
              <w:t xml:space="preserve">3 (gering)</w:t>
            </w:r>
          </w:p>
        </w:tc>
      </w:tr>
      <w:tr>
        <w:tc>
          <w:tcPr>
            <w:tcW w:w="4680" w:type="dxa"/>
          </w:tcPr>
          <w:p>
            <w:pPr/>
            <w:r>
              <w:t xml:space="preserve">Nicht vorhandene Elemente</w:t>
            </w:r>
          </w:p>
        </w:tc>
        <w:tc>
          <w:tcPr>
            <w:tcW w:w="4680" w:type="dxa"/>
          </w:tcPr>
          <w:p>
            <w:pPr/>
            <w:r>
              <w:t xml:space="preserve">keine</w:t>
            </w:r>
          </w:p>
        </w:tc>
      </w:tr>
    </w:tbl>
    <w:p>
      <w:pPr>
        <w:pStyle w:val="Heading2"/>
      </w:pPr>
      <w:r>
        <w:t xml:space="preserve">Fazit</w:t>
      </w:r>
    </w:p>
    <w:p>
      <w:pPr/>
      <w:r>
        <w:t xml:space="preserve">Die wichtigste Schwäche: Die Theorieherkunft von BI (UTAUT) wird als TTF-Modell ausgewiesen. Dadurch bleibt verdeckt, dass H2 zwei Theorien verbindet, und Tabelle D meldet zu Unrecht „erfüllt“.</w:t>
      </w:r>
    </w:p>
    <w:p>
      <w:pPr/>
      <w:r>
        <w:t xml:space="preserve">Regel für den Erstellungs-Prompt: „Übernimm für jedes Konstrukt die Herkunftsangabe der Quelle (z. B. ›adapted from …‹) wörtlich in Tabelle A, prüfe Prädiktor und Kriterium jeder Hypothese gegen diese Herkunft und kennzeichne abweichende Paare als theorieübergreifend mit Belegzitat.“ Diese Regel ist in Prompt V6.2 umgesetzt.</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Evaluation – Lauf Prompt V6 (Copilot-Fragebogen)</dc:title>
  <dc:description>Claude Docs node/ebf2ad10-21ce@6 docx-w6</dc:description>
  <cp:revision>6</cp:revision>
</cp:coreProperties>
</file>