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KI-Readiness-Fragebogen: Einführung von Copilot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Grundlage: </w:t>
      </w:r>
      <w:r>
        <w:rPr>
          <w:rFonts w:ascii="Calibri" w:cs="Calibri" w:eastAsia="Calibri" w:hAnsi="Calibri"/>
          <w:sz w:val="21"/>
          <w:szCs w:val="21"/>
        </w:rPr>
        <w:t xml:space="preserve">Datensatz_v1 (Q2, Q4), Paper Fragebogen 1, 2 und 4, Carolus et al. (2023) mit MAILS-Items und Paper sowie Sindermann et al. (2021).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Fall: </w:t>
      </w:r>
      <w:r>
        <w:rPr>
          <w:rFonts w:ascii="Calibri" w:cs="Calibri" w:eastAsia="Calibri" w:hAnsi="Calibri"/>
          <w:sz w:val="21"/>
          <w:szCs w:val="21"/>
        </w:rPr>
        <w:t xml:space="preserve">Der Platzhalter ist mit „Copilot“ belegt und lässt sich austauschen.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Theorieauswahl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4"/>
        <w:gridCol w:w="3205"/>
        <w:gridCol w:w="4808"/>
        <w:gridCol w:w="3643"/>
      </w:tblGrid>
      <w:tr>
        <w:trPr>
          <w:tblHeader/>
        </w:trPr>
        <w:tc>
          <w:tcPr>
            <w:tcW w:type="dxa" w:w="291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Theorie</w:t>
            </w:r>
          </w:p>
        </w:tc>
        <w:tc>
          <w:tcPr>
            <w:tcW w:type="dxa" w:w="32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Konstrukt</w:t>
            </w:r>
          </w:p>
        </w:tc>
        <w:tc>
          <w:tcPr>
            <w:tcW w:type="dxa" w:w="480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 (aus Quelle)</w:t>
            </w:r>
          </w:p>
        </w:tc>
        <w:tc>
          <w:tcPr>
            <w:tcW w:type="dxa" w:w="364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Reasoned Action Approach (RAA/TPB)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Einstellung (ATT)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Haltung einer Person gegenüber der Technologie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(2025), Tab. 1; Fishbein &amp; Ajzen (2010, zit. n. Wichmann et al., 2025)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Wahrgenommene Normen (PN)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Meinung anderer zur Nutzung der Technologie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Wahrgenommene Verhaltenskontrolle (PBC)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Wahrgenommener Entscheidungsspielraum bei der Nutzung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(2024), Tab. 1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Nutzungsabsicht (INT)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Präferenz einer Person, die Technologie zu nutzen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(2024), Tab. 1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UTAUT2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Wahrgenommene Nützlichkeit (PU)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Wirksamkeit der Technologie und Nutzen für die Person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(2025), Tab. 1; Venkatesh et al. (2012, zit. n. ebd.)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Wahrgenommene Benutzerfreundlichkeit (PEOU)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Wie leicht eine Person die Anwendung nutzen kann; steht für Fähigkeiten und Fertigkeiten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(2025)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Hedonische Motivation (HM)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Einfluss von Lust- und Unlustempfinden auf die Bereitschaft, ein Ziel anzustreben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(2025), Tab. 1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Vertrauensmodell (Mayer et al., 1995, zit. n. Do Khac et al., 2025)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Fähigkeit (ABI)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Operationalisiert als Verständnis, wie das System Ergebnisse erzeugt und ob diese korrekt sind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 Khac et al. (2025), Kap. 4.1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Wohlwollen (BEN)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Operationalisiert über die „uncanny“-Wahrnehmung der KI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Integrität (INTEG)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Operationalisiert als Verbleib von Unternehmensinformationen im Unternehmen (Datenschutz)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 (TRU)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Bereitschaft, sich verletzlich zu machen, unabhängig von Kontrollmöglichkeiten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ebd., Kap. 2.3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Nutzungsabsicht (INT-T)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Abhängige Variable; Items nach Ajzen &amp; Fishbein (1975, zit. n. ebd.)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MAILS (KI-Kompetenz; Bloom, 1956; Ng et al., 2021; TPB)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&amp; Apply AI (UA)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Facette der KI-Kompetenz: Anwendung von KI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Carolus et al. (2023)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Know &amp; Understand AI (KU)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Facette der KI-Kompetenz: Wissen über KI und Verständnis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Self-Efficacy – Problem Solving (SE)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Psychologische Kompetenz zum Umgang mit KI-Problemen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Emotion Regulation (ER)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Reduziert schädliche emotionale Erregung und stärkt so die wahrgenommene Verhaltenskontrolle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ATAI (Einstellung zu KI)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Akzeptanz (ACC)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Positiver Faktor der Einstellung zu KI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Sindermann et al. (2021)</w:t>
            </w:r>
          </w:p>
        </w:tc>
      </w:tr>
      <w:tr>
        <w:trPr>
          <w:tblHeader w:val="false"/>
        </w:trP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Angst (FEAR)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Negativer Faktor, der negativ mit Akzeptanz zusammenhängt</w:t>
            </w:r>
          </w:p>
        </w:tc>
        <w:tc>
          <w:tcPr>
            <w:tcW w:type="dxa" w:w="36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</w:t>
            </w:r>
          </w:p>
        </w:tc>
      </w:tr>
    </w:tbl>
    <w:p>
      <w:pPr>
        <w:spacing w:after="6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Hypothesen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808"/>
        <w:gridCol w:w="4371"/>
        <w:gridCol w:w="4663"/>
      </w:tblGrid>
      <w:tr>
        <w:trPr>
          <w:tblHeader/>
        </w:trPr>
        <w:tc>
          <w:tcPr>
            <w:tcW w:type="dxa" w:w="72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Hypothese</w:t>
            </w:r>
          </w:p>
        </w:tc>
        <w:tc>
          <w:tcPr>
            <w:tcW w:type="dxa" w:w="437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  <w:tc>
          <w:tcPr>
            <w:tcW w:type="dxa" w:w="466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Gegenannahme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positiver die Einstellung zu Copilot, desto höher die Nutzungsabsicht.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(2025), H1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positiver die wahrgenommenen Normen, desto höher die Nutzungsabsicht.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(2025), H2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wahrgenommene Verhaltenskontrolle, desto höher die Nutzungsabsicht.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TPB: PBC ist ein zentraler Prädiktor (Carolus et al., 2023)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(2025) fanden einen negativen Effekt. Wer sich bereits kompetent fühlt, sieht womöglich keinen Bedarf.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H4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Nutzungsabsicht vor der Einführung, desto häufiger wird Copilot nach der Einführung genutzt.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Die Absicht gilt als wichtigster Prädiktor des Verhaltens (Wichmann et al., 2024)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H5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wahrgenommene Nützlichkeit, desto höher die Nutzungsabsicht.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(2025), H3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Ist der Nutzen vor der Einführung unbekannt, kann die Zurückhaltung überwiegen (Hua &amp; Wang, 2019, zit. n. Wichmann et al., 2025).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H6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Benutzerfreundlichkeit, desto höher die Nutzungsabsicht und die Verhaltenskontrolle.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PEOU war der einzige Prädiktor von PBC (Wichmann et al., 2025)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H7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hedonische Motivation, desto höher die Nutzungsabsicht.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(2025), H4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 Arbeitskontext mit verpflichtender Nutzung kann der Effekt schwächer sein. [Modellwissen]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H8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wahrgenommene Fähigkeit, desto höher das Vertrauen.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 Khac et al. (2025); stärkster Faktor in Vertrieb und IT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H9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das wahrgenommene Wohlwollen, desto höher das Vertrauen.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 Khac et al. (2025), H2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der Studie trug Wohlwollen nicht zur Erklärung von Vertrauen bei.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H10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wahrgenommene Integrität, desto höher das Vertrauen.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 Khac et al. (2025), H3; stärkster Faktor in Nicht-IT-Bereichen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H11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das Vertrauen, desto höher die Nutzungsabsicht.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 Khac et al. (2025), H4; Vertrauen erklärt rund 50 % der Varianz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H12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Anwendungskompetenz (UA), desto höher die Akzeptanz von KI.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Positive Korrelation mit Akzeptanz und positiver Einstellung (Carolus et al., 2023)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H13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das KI-Wissen (KU), desto höher die Akzeptanz von KI.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H14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KI-Selbstwirksamkeit, desto höher die Akzeptanz von KI.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KI-Selbstwirksamkeit korreliert nicht mit negativer Einstellung, senkt also die Angst nicht.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H15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Emotionsregulation, desto geringer die Angst vor KI.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Self-Competency korreliert negativ mit negativer Einstellung (Carolus et al., 2023)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H16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Akzeptanz, desto höher die Bereitschaft, KI zu nutzen.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Sindermann et al. (2021)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7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H17</w:t>
            </w:r>
          </w:p>
        </w:tc>
        <w:tc>
          <w:tcPr>
            <w:tcW w:type="dxa" w:w="48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 höher die Angst vor KI, desto geringer die Bereitschaft, KI zu nutzen.</w:t>
            </w:r>
          </w:p>
        </w:tc>
        <w:tc>
          <w:tcPr>
            <w:tcW w:type="dxa" w:w="437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Sindermann et al. (2021)</w:t>
            </w:r>
          </w:p>
        </w:tc>
        <w:tc>
          <w:tcPr>
            <w:tcW w:type="dxa" w:w="46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 Jobverlust-Item lud in studentischen Stichproben schwach. Bei Beschäftigten kann es stärker laden (ebd.).</w:t>
            </w:r>
          </w:p>
        </w:tc>
      </w:tr>
    </w:tbl>
    <w:p>
      <w:pPr>
        <w:spacing w:after="6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Fragebogen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Instruktion: </w:t>
      </w:r>
      <w:r>
        <w:rPr>
          <w:rFonts w:ascii="Calibri" w:cs="Calibri" w:eastAsia="Calibri" w:hAnsi="Calibri"/>
          <w:sz w:val="21"/>
          <w:szCs w:val="21"/>
        </w:rPr>
        <w:t xml:space="preserve">Bitte geben Sie an, wie sehr Sie den folgenden Aussagen zustimmen (1 = stimme überhaupt nicht zu bis 5 = stimme voll zu).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Kennzeichnungen: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(A) = inhaltliche Adaption an den Fall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(R) = umzupolen [Modellwissen]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019"/>
        <w:gridCol w:w="1019"/>
        <w:gridCol w:w="6556"/>
        <w:gridCol w:w="3205"/>
        <w:gridCol w:w="1460"/>
      </w:tblGrid>
      <w:tr>
        <w:trPr>
          <w:tblHeader/>
        </w:trPr>
        <w:tc>
          <w:tcPr>
            <w:tcW w:type="dxa" w:w="131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Theorie</w:t>
            </w:r>
          </w:p>
        </w:tc>
        <w:tc>
          <w:tcPr>
            <w:tcW w:type="dxa" w:w="10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Konstrukt</w:t>
            </w:r>
          </w:p>
        </w:tc>
        <w:tc>
          <w:tcPr>
            <w:tcW w:type="dxa" w:w="10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Item-Nr.</w:t>
            </w:r>
          </w:p>
        </w:tc>
        <w:tc>
          <w:tcPr>
            <w:tcW w:type="dxa" w:w="655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Originalquelle</w:t>
            </w:r>
          </w:p>
        </w:tc>
        <w:tc>
          <w:tcPr>
            <w:tcW w:type="dxa" w:w="14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Hypothese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Die Nutzung von Copilot wäre für mich vorteilhaft.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Wichmann et al. (2025), Q2 Attitude (1)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Die Nutzung von Copilot wäre für mich zufriedenstellend.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(2)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Die Nutzung von Copilot wäre für mich wichtig.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(3)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ATT4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Die Nutzung von Copilot wäre für mich angenehm.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(4)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PN1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Kolleginnen und Kollegen in einer ähnlichen beruflichen Situation würden mir die Nutzung von Copilot empfehlen.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Q2 Perceived norms (3)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PN2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Kolleginnen und Kollegen in einer anderen beruflichen Situation würden mir die Nutzung von Copilot empfehlen.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(4)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PN3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Meine besten Freundinnen und Freunde würden mir die Nutzung von Copilot empfehlen.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(1)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PBC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PBC1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 liegt in meiner Kontrolle, Copilot zu nutzen.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Q2 PBC (1)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PBC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PBC2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 liegt hauptsächlich an mir, Copilot zu nutzen.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(2)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PBC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PBC3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bin überzeugt, dass ich Copilot nutzen kann.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(3)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PBC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PBC4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Wenn ich wirklich will, kann ich Copilot nutzen.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(4)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plane, Copilot künftig zu nutzen.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Q2 Intention (1)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H1–H4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beabsichtige, Copilot künftig zu nutzen.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(2)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H1–H4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werde Copilot künftig auf jeden Fall nutzen.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(3)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H1–H4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UTAUT2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PEOU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PEOU1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denke, dass die Bedienung von Copilot einfach ist.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Q2 PEOU (1)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H6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UTAUT2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PEOU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PEOU2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denke, dass die Hauptfunktion von Copilot leicht zu verstehen ist.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(2)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H6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UTAUT2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PEOU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PEOU3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Copilot ist für mich einfach zu nutzen.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(3)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H6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UTAUT2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denke, dass mir die Nutzung von Copilot Arbeitszeit einsparen kann. (A)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Q2 PU (1): „save energy“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H5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UTAUT2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denke, dass die Nutzung von Copilot meinen Arbeitsaufwand verringern kann. (A)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Q2 PU (2): „reduce my electricity bill“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H5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UTAUT2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Copilot ist für meine Arbeit nützlich.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Q2 PU (4)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H5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UTAUT2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HM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HM1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denke, dass die Nutzung von Copilot Spaß macht.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Q2 Hedonic (1)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H7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UTAUT2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HM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HM2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denke, dass mir die Nutzung von Copilot Freude bereitet.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(2)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H7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UTAUT2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HM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HM3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denke, dass die Nutzung von Copilot sehr unterhaltsam ist.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ebd. (3)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H7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ABI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ABI1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weiß, wie Copilot funktioniert.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 Khac et al. (2025), Q4 X1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H8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ABI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ABI2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nachvollziehen, wie Copilot zu seinen Ergebnissen kommt.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X2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H8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ABI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ABI3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nachvollziehen, ob die Ergebnisse von Copilot richtig sind.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X3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H8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empfinde Copilot als unheimlich. (R)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U1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H9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empfinde Copilot als unmenschlich. (R)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U2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H9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empfinde Copilot als unangenehm. (R)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U3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H9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habe keine Bedenken, dass Copilot unternehmensinterne Informationen an Dritte weitergibt.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D1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H10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denke, dass die Interaktionsdaten meiner Nutzung von Copilot sicher sind.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D2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H10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denke, dass Copilot zu viele Informationen über unser Unternehmen hat, wenn wir es nutzen. (R)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D3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H10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vertraue den Antworten von Copilot.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T4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H8–H11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bin gewillt, komplette Arbeitsprozesse zur autonomen Verarbeitung an Copilot zu geben. (A: Wir → Ich)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T1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H8–H11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Copilot bedarf menschlicher Kontrolle, daher sollte es nicht ohne diese Kontrolle in meinen Arbeitsprozessen eingesetzt werden. (R)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T2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H8–H11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TRU4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fühle mich wohl dabei, kritische Aufgaben ohne Kontrolle an Copilot zu geben.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T3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H8–H11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INT-T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INTT1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beabsichtige, Copilot von jetzt an in meinen Arbeitsprozessen einzusetzen. (A: Wir → Ich)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I1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H11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INT-T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INTT2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Meine Absicht, Copilot in meinen Arbeitsprozessen einzusetzen, ist hoch.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I3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H11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Vertrauen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INT-T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INTT3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Zukunft beabsichtige ich, Copilot in meinen Arbeitsprozessen einzusetzen.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Q4 I2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H11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KI-Anwendungen bedienen.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Carolus et al. (2023), Item 1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H12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KI sinnvoll einsetzen, um meine Ziele zu erreichen.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3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H12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so mit KI interagieren, dass meine Aufgaben leichter werden.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4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H12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kenne die wichtigsten Konzepte zum Thema KI.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7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H13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kenne Definitionen von KI.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8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H13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einschätzen, welche Grenzen und Möglichkeiten die Nutzung von KI hat.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9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H13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mich in schwierigen Situationen bei der Nutzung von KI auf meine Fähigkeiten verlassen.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23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H14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die meisten Probleme im Umgang mit KI gut allein lösen.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24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H14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bei der Arbeit mit KI meist auch anstrengende und komplizierte Aufgaben gut lösen.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25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H14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behalte bei der Nutzung von KI die Kontrolle über Gefühle wie Frustration und Angst.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32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H15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damit umgehen, wenn mich Interaktionen mit KI frustrieren oder ängstigen.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33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H15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MAILS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meine Euphorie kontrollieren, die bei der Nutzung von KI entsteht.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34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H15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ATAI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vertraue künstlicher Intelligenz.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Sindermann et al. (2021), Item 02 (Original Deutsch)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H16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ATAI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Künstliche Intelligenz wird eine Bereicherung für die Menschheit sein.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04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H16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ATAI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FEAR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FEAR1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habe Angst vor künstlicher Intelligenz.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01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H15, H17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ATAI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FEAR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FEAR2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Künstliche Intelligenz wird die Menschheit zerstören.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03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H17</w:t>
            </w:r>
          </w:p>
        </w:tc>
      </w:tr>
      <w:tr>
        <w:trPr>
          <w:tblHeader w:val="false"/>
        </w:trPr>
        <w:tc>
          <w:tcPr>
            <w:tcW w:type="dxa" w:w="13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ATAI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FEAR</w:t>
            </w:r>
          </w:p>
        </w:tc>
        <w:tc>
          <w:tcPr>
            <w:tcW w:type="dxa" w:w="10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FEAR3</w:t>
            </w:r>
          </w:p>
        </w:tc>
        <w:tc>
          <w:tcPr>
            <w:tcW w:type="dxa" w:w="65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Künstliche Intelligenz wird für viel Arbeitslosigkeit sorgen.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05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H17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Hinweise zu Abweichungen von den Vorgaben: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 hat nur 2 Items. </w:t>
      </w:r>
      <w:r>
        <w:rPr>
          <w:rFonts w:ascii="Calibri" w:cs="Calibri" w:eastAsia="Calibri" w:hAnsi="Calibri"/>
          <w:sz w:val="21"/>
          <w:szCs w:val="21"/>
        </w:rPr>
        <w:t xml:space="preserve">Der ATAI-Katalog enthält für Akzeptanz nur zwei Items. Es wurde bewusst kein drittes Item ergänzt.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Skalen umgestellt. </w:t>
      </w:r>
      <w:r>
        <w:rPr>
          <w:rFonts w:ascii="Calibri" w:cs="Calibri" w:eastAsia="Calibri" w:hAnsi="Calibri"/>
          <w:sz w:val="21"/>
          <w:szCs w:val="21"/>
        </w:rPr>
        <w:t xml:space="preserve">Q2 nutzt eine 7-stufige Skala, MAILS und ATAI eine 11-stufige (0–10). Alle Items laufen hier 5-stufig. Sindermann et al. (2021) empfehlen selbst, andere Likert-Formate zu prüfen. Die Normwerte der Validierungsstudien sind dadurch aber nicht direkt vergleichbar.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Selbstprüfung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5245"/>
        <w:gridCol w:w="2039"/>
        <w:gridCol w:w="5829"/>
      </w:tblGrid>
      <w:tr>
        <w:trPr>
          <w:tblHeader/>
        </w:trPr>
        <w:tc>
          <w:tcPr>
            <w:tcW w:type="dxa" w:w="145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24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03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  <w:tc>
          <w:tcPr>
            <w:tcW w:type="dxa" w:w="582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Korrektur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INT3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„auf jeden Fall“ verstärkt die Aussage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Suggestiv/wertend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werde Copilot künftig nutzen.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HM3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„sehr“ verstärkt die Aussage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wertend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denke, dass die Nutzung von Copilot unterhaltsam ist.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BEN2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„unmenschlich“ ist im Deutschen mehrdeutig (auch „grausam“); im Original steht „not human“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Verständlichkeit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empfinde Copilot als nicht menschlich. (R)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INTEG1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Doppelte Verneinung („keine Bedenken … weitergibt“)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Verständlichkeit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gehe davon aus, dass Copilot unternehmensinterne Informationen nicht an Dritte weitergibt.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INTEG3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Konditionalsatz und „zu viele“; die Wertung ist hier allerdings der Konstruktinhalt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Kurze Sätze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Bei der Nutzung erhält Copilot zu viele Informationen über unser Unternehmen. (R)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TRU2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„komplette“ ist eine absolute Formulierung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Suggestiv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bin bereit, Arbeitsprozesse autonom von Copilot bearbeiten zu lassen.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TRU3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Zwei Aussagen in einem Item: Feststellung plus Folgerung („daher“)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Double-Barreled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Die Ergebnisse von Copilot benötigen menschliche Kontrolle. (R)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KU3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Zwei Aspekte in einem Item: „Grenzen und Möglichkeiten“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Double-Barreled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die Grenzen der Nutzung von KI einschätzen.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SE3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Zwei Aspekte in einem Item: „anstrengende und komplizierte“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Double-Barreled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bei der Arbeit mit KI meist auch komplizierte Aufgaben gut lösen.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ER1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Zwei Gefühle in einem Item: „Frustration und Angst“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Double-Barreled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behalte bei der Nutzung von KI die Kontrolle über Gefühle der Frustration.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ER2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Zwei Gefühle in einem Item: „frustrieren oder ängstigen“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Double-Barreled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Ich kann damit umgehen, wenn mich Interaktionen mit KI ängstigen.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FEAR2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Drastische, absolute Formulierung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Suggestiv (grenzwertig)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Beibehalten, da validiertes Originalitem. Die Entscheidung wird in der Hausarbeit begründet.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PN3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Freundeskreis hat geringe Passung zum Arbeitskontext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Keine Regelverletzung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Optional streichen. Ein Ersatz wäre ein erfundenes Item.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ACC1 / TRU1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Beide Items nutzen das Wort „vertraue“. Laut Sindermann et al. (2021) kann diese Überschneidung Korrelationen überschätzen.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Messtechnik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Items in getrennten Blöcken und mit Abstand platzieren.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INT2 / INTT3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 gleicher Wortlaut in zwei Theorien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Redundanz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Theorietreue (beide behalten) gegen Fragebogenlänge abwägen. Die Entscheidung wird dokumentiert.</w:t>
            </w:r>
          </w:p>
        </w:tc>
      </w:tr>
      <w:tr>
        <w:trPr>
          <w:tblHeader w:val="false"/>
        </w:trPr>
        <w:tc>
          <w:tcPr>
            <w:tcW w:type="dxa" w:w="14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ABI1–3</w:t>
            </w:r>
          </w:p>
        </w:tc>
        <w:tc>
          <w:tcPr>
            <w:tcW w:type="dxa" w:w="52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Die Items messen das Verständnis der Nutzenden, nicht die Fähigkeit des Systems</w:t>
            </w:r>
          </w:p>
        </w:tc>
        <w:tc>
          <w:tcPr>
            <w:tcW w:type="dxa" w:w="20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Konstruktvalidität</w:t>
            </w:r>
          </w:p>
        </w:tc>
        <w:tc>
          <w:tcPr>
            <w:tcW w:type="dxa" w:w="5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Keine Korrektur. Als Limitation von Do Khac et al. (2025) diskutieren.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Du/Sie: </w:t>
      </w:r>
      <w:r>
        <w:rPr>
          <w:rFonts w:ascii="Calibri" w:cs="Calibri" w:eastAsia="Calibri" w:hAnsi="Calibri"/>
          <w:sz w:val="21"/>
          <w:szCs w:val="21"/>
        </w:rPr>
        <w:t xml:space="preserve">Alle Items stehen in der Ich-Form, die Instruktion in der Sie-Form. Das ist einheitlich.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Ideen für Hausarbeit und Master-Prompt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Diesen Lauf als eigene DSR-Iteration nutzen. Er kann als „Ergebnis Modell B (Claude)“ in die Kommunikationsphase eingehen, als Vergleich zum NotebookLM-Output. Verglichen wird anhand von Fehlerzählungen je Kategorie: Theorievermischung, Double-Barreled-Items, Suggestivfragen, fehlende Quellenangabe.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Schwachstellen des Prompts, die dieser Lauf sichtbar gemacht hat: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Unklare Theoriezuordnung. Q1 und Q2 sind integrierte Modelle. Ohne Zusatzregel bleibt unklar, zu welcher Theorie ein Konstrukt gehört.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Neue Regel: „Ordne jedes Konstrukt über die Synonymtabelle (Tab. 1) des jeweiligen Papers genau einer Theorie zu.“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Skalenkonflikt. Die Kataloge nutzen 7-stufige oder 0–10-Skalen, der Prompt verlangt 5 Stufen. Der Prompt sollte eine Dokumentation dieser Umstellung verlangen.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Katalog kleiner als die Vorgabe. ATAI hat für Akzeptanz nur 2 Items.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Neue Regel: „Wenn der Katalog weniger als 3 Items enthält, ergänze nichts, sondern kennzeichne die Lücke.“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Konstrukte in mehreren Theorien. Die Nutzungsabsicht kommt in RAA und im Vertrauensmodell vor. Der Prompt braucht eine Regel für solche geteilten Konstrukte.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Validierte Items verletzen selbst Qualitätsregeln (TRU3, INTEG1, MAILS 9/25/32/33). Dieser Zielkonflikt zwischen Validität und Regelkonformität ist ein starker Diskussionspunkt für das Fazit.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Tippfehler: </w:t>
      </w:r>
      <w:r>
        <w:rPr>
          <w:rFonts w:ascii="Calibri" w:cs="Calibri" w:eastAsia="Calibri" w:hAnsi="Calibri"/>
          <w:sz w:val="21"/>
          <w:szCs w:val="21"/>
        </w:rPr>
        <w:t xml:space="preserve">„100%%“.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Kreative Prompt-Module: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„Theorie-Firewall“ (Schritt 0): Das Modell erstellt zuerst eine Mapping-Tabelle Theorie → Konstrukt → Item-IDs (z. B. Q2-PBC-3). Danach darf es nur IDs aus dieser Tabelle verwenden.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Daraus folgt eine prüfbare Arbeitshypothese (Ebene 1): Das erzwungene Mapping senkt die Theorievermischung.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Adaptionsprotokoll: </w:t>
      </w:r>
      <w:r>
        <w:rPr>
          <w:rFonts w:ascii="Calibri" w:cs="Calibri" w:eastAsia="Calibri" w:hAnsi="Calibri"/>
          <w:sz w:val="21"/>
          <w:szCs w:val="21"/>
        </w:rPr>
        <w:t xml:space="preserve">Eine Zusatzspalte „Original (EN) → Adaption (DE) → Art der Adaption“ (Übersetzung, Kontext, Inhalt). Das macht Abweichungen vom Katalog transparent.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Generator-Kritiker-Kette über mehrere Modelle: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NotebookLM erzeugt den Fragebogen quellengebunden.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Claude prüft ihn mit dieser Checkliste.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NotebookLM überarbeitet ihn.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Das entspricht dem Kreativitätsbeispiel des Dozenten zur Kombination mehrerer Modelle.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Readiness-Raster als Leitstruktur: </w:t>
      </w:r>
      <w:r>
        <w:rPr>
          <w:rFonts w:ascii="Calibri" w:cs="Calibri" w:eastAsia="Calibri" w:hAnsi="Calibri"/>
          <w:sz w:val="21"/>
          <w:szCs w:val="21"/>
        </w:rPr>
        <w:t xml:space="preserve">Können (MAILS), Wollen (RAA, UTAUT2), Vertrauen (Mayer), Fühlen (ATAI). Das Raster eignet sich als Abbildung in der Hausarbeit und als Gliederungsvorgabe im Prompt.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Als nächsten Schritt kann ich daraus eine überarbeitete Master-Prompt-Version B formulieren, die die Module oben enthält, für den direkten A/B-Vergleich in NotebookLM.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Literatur</w:t>
      </w:r>
    </w:p>
    <w:p>
      <w:pPr>
        <w:spacing w:after="120"/>
        <w:ind w:left="567" w:hanging="567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Carolus, A., Koch, M. J., Straka, S., Latoschik, M. E., &amp; Wienrich, C. (2023). MAILS – Meta AI literacy scale: Development and testing of an AI literacy questionnaire based on well-founded competency models and psychological change- and meta-competencies. Computers in Human Behavior: Artificial Humans, 1(2), 100014. https://doi.org/10.1016/j.chbah.2023.100014</w:t>
      </w:r>
    </w:p>
    <w:p>
      <w:pPr>
        <w:spacing w:after="120"/>
        <w:ind w:left="567" w:hanging="567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Do Khac, L. T., Leyer, M., Wichmann, J., &amp; Richter, A. (2025). Divisional perspectives on trust in generative AI: An empirical study of senior decision-makers. Enterprise Information Systems. https://doi.org/10.1080/17517575.2025.2481557</w:t>
      </w:r>
    </w:p>
    <w:p>
      <w:pPr>
        <w:spacing w:after="120"/>
        <w:ind w:left="567" w:hanging="567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Sindermann, C., Sha, P., Zhou, M., Wernicke, J., Schmitt, H. S., Li, M., Sariyska, R., Stavrou, M., Becker, B., &amp; Montag, C. (2021). Assessing the attitude towards artificial intelligence: Introduction of a short measure in German, Chinese, and English language. KI – Künstliche Intelligenz, 35, 109–118. https://doi.org/10.1007/s13218-020-00689-0</w:t>
      </w:r>
    </w:p>
    <w:p>
      <w:pPr>
        <w:spacing w:after="120"/>
        <w:ind w:left="567" w:hanging="567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Wichmann, J., Behn, O., Degirmenci, K., Leyer, M., &amp; Barros, A. (2025). An integrated theoretical model to predict the intention to use energy monitoring applications. Evidence from Germany. In Proceedings of the 58th Hawaii International Conference on System Sciences. https://hdl.handle.net/10125/108952</w:t>
      </w:r>
    </w:p>
    <w:p>
      <w:pPr>
        <w:spacing w:after="120"/>
        <w:ind w:left="567" w:hanging="567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Wichmann, J., et al. (2024). [Paper Fragebogen 1]. JMIR Formative Research, 8, e48600. https://formative.jmir.org/2024/1/e48600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Hinweis: </w:t>
      </w:r>
      <w:r>
        <w:rPr>
          <w:rFonts w:ascii="Calibri" w:cs="Calibri" w:eastAsia="Calibri" w:hAnsi="Calibri"/>
          <w:sz w:val="21"/>
          <w:szCs w:val="21"/>
        </w:rPr>
        <w:t xml:space="preserve">Titel und vollständige Autorenliste stehen im gelesenen Auszug nicht. Bitte aus dem PDF ergänzen.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  <w:lvl w:ilvl="1" w15:tentative="1">
      <w:start w:val="1"/>
      <w:numFmt w:val="bullet"/>
      <w:lvlText w:val="–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2026-10-14T14:21:01.685Z</dcterms:created>
  <dcterms:modified xsi:type="dcterms:W3CDTF">2026-10-14T14:21:01.686Z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