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Evaluation Master-Prompt Version 2</w:t>
      </w:r>
    </w:p>
    <w:p>
      <w:pPr/>
      <w:r>
        <w:t xml:space="preserve">Oct 14, 2026</w:t>
      </w:r>
      <w:r>
        <w:t xml:space="preserve"> · </w:t>
      </w:r>
      <w:r>
        <w:t xml:space="preserve">@Marianna</w:t>
      </w:r>
    </w:p>
    <w:p>
      <w:pPr/>
      <w:r>
        <w:t xml:space="preserve">Version 2 erzeugt einen theoriebasierten Fragebogen, aber zwei Prüfdurchläufe finden zusammen 30 Befunde, davon 3 schwere. Der zweite Durchlauf zeigt, dass Korrekturen selbst neue Fehler erzeugen können.</w:t>
      </w:r>
    </w:p>
    <w:p>
      <w:pPr>
        <w:pStyle w:val="Heading2"/>
      </w:pPr>
      <w:r>
        <w:t xml:space="preserve">Evaluationsrahmen</w:t>
      </w:r>
    </w:p>
    <w:p>
      <w:pPr/>
      <w:r>
        <w:t xml:space="preserve">Gegenstand ist der Output von Version 2: der KI-Readiness-Fragebogen für die Copilot-Einführung mit 54 Items aus MAILS, Q2, Q4 und ATAI sowie 14 Hypothesen.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Element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Festlegung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Kriterien</w:t>
            </w:r>
          </w:p>
        </w:tc>
        <w:tc>
          <w:tcPr>
            <w:tcW w:w="4680" w:type="dxa"/>
          </w:tcPr>
          <w:p>
            <w:pPr/>
            <w:r>
              <w:t xml:space="preserve">A Theorievermischung · B Double-Barreled-Items · C Suggestivfragen und Präsuppositionen (inkl. Verständlichkeit) · D fehlende Quellenangaben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Schweregrade</w:t>
            </w:r>
          </w:p>
        </w:tc>
        <w:tc>
          <w:tcPr>
            <w:tcW w:w="4680" w:type="dxa"/>
          </w:tcPr>
          <w:p>
            <w:pPr/>
            <w:r>
              <w:t xml:space="preserve">schwer = Item oder Hypothese misst nicht, was sie messen soll · mittel = Validität oder Nachvollziehbarkeit eingeschränkt · gering = formale oder sprachliche Unschärfe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Durchlauf 1</w:t>
            </w:r>
          </w:p>
        </w:tc>
        <w:tc>
          <w:tcPr>
            <w:tcW w:w="4680" w:type="dxa"/>
          </w:tcPr>
          <w:p>
            <w:pPr/>
            <w:r>
              <w:t xml:space="preserve">Selbstprüfung im selben Lauf (Rolle Kritiker) auf die Generatorfassung; alle Korrekturen in die Endfassung übernommen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Durchlauf 2</w:t>
            </w:r>
          </w:p>
        </w:tc>
        <w:tc>
          <w:tcPr>
            <w:tcW w:w="4680" w:type="dxa"/>
          </w:tcPr>
          <w:p>
            <w:pPr/>
            <w:r>
              <w:t xml:space="preserve">Zweitprüfung der bereinigten Endfassung in einem späteren Arbeitsschritt; Korrekturen als Vorschläge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Quelle des Fragebogens</w:t>
            </w:r>
          </w:p>
        </w:tc>
        <w:tc>
          <w:tcPr>
            <w:tcW w:w="4680" w:type="dxa"/>
          </w:tcPr>
          <w:p>
            <w:pPr/>
            <w:r>
              <w:t xml:space="preserve">Dokument „KI-Readiness-Fragebogen Microsoft Copilot“, Tabellen 4, 6 und 8</w:t>
            </w:r>
          </w:p>
        </w:tc>
      </w:tr>
    </w:tbl>
    <w:p>
      <w:pPr>
        <w:pStyle w:val="Heading2"/>
      </w:pPr>
      <w:r>
        <w:t xml:space="preserve">Gesamtbilanz</w:t>
      </w:r>
    </w:p>
    <w:p>
      <w:pPr/>
      <w:r>
        <w:t xml:space="preserve">Beide Durchläufe ergeben 30 Befunde: 3 schwer, 11 mittel, 16 gering. Durchlauf 2 fand mehr mittlere Befunde (8) als Durchlauf 1 (3), vor allem bei der Theorievermischung.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Kriterium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Durchlauf 1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Durchlauf 2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gesamt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davon schwer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davon mittel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davon gering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A Theorievermischung</w:t>
            </w:r>
          </w:p>
        </w:tc>
        <w:tc>
          <w:tcPr>
            <w:tcW w:w="1337" w:type="dxa"/>
          </w:tcPr>
          <w:p>
            <w:pPr/>
            <w:r>
              <w:t xml:space="preserve">3</w:t>
            </w:r>
          </w:p>
        </w:tc>
        <w:tc>
          <w:tcPr>
            <w:tcW w:w="1337" w:type="dxa"/>
          </w:tcPr>
          <w:p>
            <w:pPr/>
            <w:r>
              <w:t xml:space="preserve">6</w:t>
            </w:r>
          </w:p>
        </w:tc>
        <w:tc>
          <w:tcPr>
            <w:tcW w:w="1337" w:type="dxa"/>
          </w:tcPr>
          <w:p>
            <w:pPr/>
            <w:r>
              <w:t xml:space="preserve">9</w:t>
            </w:r>
          </w:p>
        </w:tc>
        <w:tc>
          <w:tcPr>
            <w:tcW w:w="1337" w:type="dxa"/>
          </w:tcPr>
          <w:p>
            <w:pPr/>
            <w:r>
              <w:t xml:space="preserve">1</w:t>
            </w:r>
          </w:p>
        </w:tc>
        <w:tc>
          <w:tcPr>
            <w:tcW w:w="1337" w:type="dxa"/>
          </w:tcPr>
          <w:p>
            <w:pPr/>
            <w:r>
              <w:t xml:space="preserve">5</w:t>
            </w:r>
          </w:p>
        </w:tc>
        <w:tc>
          <w:tcPr>
            <w:tcW w:w="1337" w:type="dxa"/>
          </w:tcPr>
          <w:p>
            <w:pPr/>
            <w:r>
              <w:t xml:space="preserve">3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B Double-Barreled</w:t>
            </w:r>
          </w:p>
        </w:tc>
        <w:tc>
          <w:tcPr>
            <w:tcW w:w="1337" w:type="dxa"/>
          </w:tcPr>
          <w:p>
            <w:pPr/>
            <w:r>
              <w:t xml:space="preserve">2</w:t>
            </w:r>
          </w:p>
        </w:tc>
        <w:tc>
          <w:tcPr>
            <w:tcW w:w="1337" w:type="dxa"/>
          </w:tcPr>
          <w:p>
            <w:pPr/>
            <w:r>
              <w:t xml:space="preserve">2</w:t>
            </w:r>
          </w:p>
        </w:tc>
        <w:tc>
          <w:tcPr>
            <w:tcW w:w="1337" w:type="dxa"/>
          </w:tcPr>
          <w:p>
            <w:pPr/>
            <w:r>
              <w:t xml:space="preserve">4</w:t>
            </w:r>
          </w:p>
        </w:tc>
        <w:tc>
          <w:tcPr>
            <w:tcW w:w="1337" w:type="dxa"/>
          </w:tcPr>
          <w:p>
            <w:pPr/>
            <w:r>
              <w:t xml:space="preserve">0</w:t>
            </w:r>
          </w:p>
        </w:tc>
        <w:tc>
          <w:tcPr>
            <w:tcW w:w="1337" w:type="dxa"/>
          </w:tcPr>
          <w:p>
            <w:pPr/>
            <w:r>
              <w:t xml:space="preserve">1</w:t>
            </w:r>
          </w:p>
        </w:tc>
        <w:tc>
          <w:tcPr>
            <w:tcW w:w="1337" w:type="dxa"/>
          </w:tcPr>
          <w:p>
            <w:pPr/>
            <w:r>
              <w:t xml:space="preserve">3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 Suggestivfragen</w:t>
            </w:r>
          </w:p>
        </w:tc>
        <w:tc>
          <w:tcPr>
            <w:tcW w:w="1337" w:type="dxa"/>
          </w:tcPr>
          <w:p>
            <w:pPr/>
            <w:r>
              <w:t xml:space="preserve">5</w:t>
            </w:r>
          </w:p>
        </w:tc>
        <w:tc>
          <w:tcPr>
            <w:tcW w:w="1337" w:type="dxa"/>
          </w:tcPr>
          <w:p>
            <w:pPr/>
            <w:r>
              <w:t xml:space="preserve">5</w:t>
            </w:r>
          </w:p>
        </w:tc>
        <w:tc>
          <w:tcPr>
            <w:tcW w:w="1337" w:type="dxa"/>
          </w:tcPr>
          <w:p>
            <w:pPr/>
            <w:r>
              <w:t xml:space="preserve">10</w:t>
            </w:r>
          </w:p>
        </w:tc>
        <w:tc>
          <w:tcPr>
            <w:tcW w:w="1337" w:type="dxa"/>
          </w:tcPr>
          <w:p>
            <w:pPr/>
            <w:r>
              <w:t xml:space="preserve">2</w:t>
            </w:r>
          </w:p>
        </w:tc>
        <w:tc>
          <w:tcPr>
            <w:tcW w:w="1337" w:type="dxa"/>
          </w:tcPr>
          <w:p>
            <w:pPr/>
            <w:r>
              <w:t xml:space="preserve">3</w:t>
            </w:r>
          </w:p>
        </w:tc>
        <w:tc>
          <w:tcPr>
            <w:tcW w:w="1337" w:type="dxa"/>
          </w:tcPr>
          <w:p>
            <w:pPr/>
            <w:r>
              <w:t xml:space="preserve">5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D Quellenangaben</w:t>
            </w:r>
          </w:p>
        </w:tc>
        <w:tc>
          <w:tcPr>
            <w:tcW w:w="1337" w:type="dxa"/>
          </w:tcPr>
          <w:p>
            <w:pPr/>
            <w:r>
              <w:t xml:space="preserve">4</w:t>
            </w:r>
          </w:p>
        </w:tc>
        <w:tc>
          <w:tcPr>
            <w:tcW w:w="1337" w:type="dxa"/>
          </w:tcPr>
          <w:p>
            <w:pPr/>
            <w:r>
              <w:t xml:space="preserve">3</w:t>
            </w:r>
          </w:p>
        </w:tc>
        <w:tc>
          <w:tcPr>
            <w:tcW w:w="1337" w:type="dxa"/>
          </w:tcPr>
          <w:p>
            <w:pPr/>
            <w:r>
              <w:t xml:space="preserve">7</w:t>
            </w:r>
          </w:p>
        </w:tc>
        <w:tc>
          <w:tcPr>
            <w:tcW w:w="1337" w:type="dxa"/>
          </w:tcPr>
          <w:p>
            <w:pPr/>
            <w:r>
              <w:t xml:space="preserve">0</w:t>
            </w:r>
          </w:p>
        </w:tc>
        <w:tc>
          <w:tcPr>
            <w:tcW w:w="1337" w:type="dxa"/>
          </w:tcPr>
          <w:p>
            <w:pPr/>
            <w:r>
              <w:t xml:space="preserve">2</w:t>
            </w:r>
          </w:p>
        </w:tc>
        <w:tc>
          <w:tcPr>
            <w:tcW w:w="1337" w:type="dxa"/>
          </w:tcPr>
          <w:p>
            <w:pPr/>
            <w:r>
              <w:t xml:space="preserve">5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Summe</w:t>
            </w:r>
          </w:p>
        </w:tc>
        <w:tc>
          <w:tcPr>
            <w:tcW w:w="1337" w:type="dxa"/>
          </w:tcPr>
          <w:p>
            <w:pPr/>
            <w:r>
              <w:t xml:space="preserve">14</w:t>
            </w:r>
          </w:p>
        </w:tc>
        <w:tc>
          <w:tcPr>
            <w:tcW w:w="1337" w:type="dxa"/>
          </w:tcPr>
          <w:p>
            <w:pPr/>
            <w:r>
              <w:t xml:space="preserve">16</w:t>
            </w:r>
          </w:p>
        </w:tc>
        <w:tc>
          <w:tcPr>
            <w:tcW w:w="1337" w:type="dxa"/>
          </w:tcPr>
          <w:p>
            <w:pPr/>
            <w:r>
              <w:t xml:space="preserve">30</w:t>
            </w:r>
          </w:p>
        </w:tc>
        <w:tc>
          <w:tcPr>
            <w:tcW w:w="1337" w:type="dxa"/>
          </w:tcPr>
          <w:p>
            <w:pPr/>
            <w:r>
              <w:t xml:space="preserve">3</w:t>
            </w:r>
          </w:p>
        </w:tc>
        <w:tc>
          <w:tcPr>
            <w:tcW w:w="1337" w:type="dxa"/>
          </w:tcPr>
          <w:p>
            <w:pPr/>
            <w:r>
              <w:t xml:space="preserve">11</w:t>
            </w:r>
          </w:p>
        </w:tc>
        <w:tc>
          <w:tcPr>
            <w:tcW w:w="1337" w:type="dxa"/>
          </w:tcPr>
          <w:p>
            <w:pPr/>
            <w:r>
              <w:t xml:space="preserve">16</w:t>
            </w:r>
          </w:p>
        </w:tc>
      </w:tr>
    </w:tbl>
    <w:p>
      <w:pPr/>
      <w:r>
        <w:t xml:space="preserve">Der schwere Befund in Durchlauf 2 (Q4-T2) entstand durch eine Korrektur aus Durchlauf 1. Eine Regelanwendung ohne Abgleich mit der Konstruktdefinition kann also die Theorietreue verschlechtern [eigene Bewertung].</w:t>
      </w:r>
    </w:p>
    <w:p>
      <w:pPr>
        <w:pStyle w:val="Heading2"/>
      </w:pPr>
      <w:r>
        <w:t xml:space="preserve">Durchlauf 1 – Selbstprüfung</w:t>
      </w:r>
    </w:p>
    <w:p>
      <w:pPr/>
      <w:r>
        <w:t xml:space="preserve">Die Selbstprüfung fand 14 Befunde in der Generatorfassung; alle wurden in die Endfassung übernommen.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Nr.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Kriterium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Fundstelle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Befund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Schwere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Korrektur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A</w:t>
            </w:r>
          </w:p>
        </w:tc>
        <w:tc>
          <w:tcPr>
            <w:tcW w:w="1560" w:type="dxa"/>
          </w:tcPr>
          <w:p>
            <w:pPr/>
            <w:r>
              <w:t xml:space="preserve">H11</w:t>
            </w:r>
          </w:p>
        </w:tc>
        <w:tc>
          <w:tcPr>
            <w:tcW w:w="1560" w:type="dxa"/>
          </w:tcPr>
          <w:p>
            <w:pPr/>
            <w:r>
              <w:t xml:space="preserve">Quelle berichtet r = .86 nur für AI Self-Competency gesamt; Persuasion Literacy nicht gemessen</w:t>
            </w:r>
          </w:p>
        </w:tc>
        <w:tc>
          <w:tcPr>
            <w:tcW w:w="1560" w:type="dxa"/>
          </w:tcPr>
          <w:p>
            <w:pPr/>
            <w:r>
              <w:t xml:space="preserve">mittel</w:t>
            </w:r>
          </w:p>
        </w:tc>
        <w:tc>
          <w:tcPr>
            <w:tcW w:w="1560" w:type="dxa"/>
          </w:tcPr>
          <w:p>
            <w:pPr/>
            <w:r>
              <w:t xml:space="preserve">H11 mit [eigene Bewertung] gekennzeichnet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A</w:t>
            </w:r>
          </w:p>
        </w:tc>
        <w:tc>
          <w:tcPr>
            <w:tcW w:w="1560" w:type="dxa"/>
          </w:tcPr>
          <w:p>
            <w:pPr/>
            <w:r>
              <w:t xml:space="preserve">H1–H5</w:t>
            </w:r>
          </w:p>
        </w:tc>
        <w:tc>
          <w:tcPr>
            <w:tcW w:w="1560" w:type="dxa"/>
          </w:tcPr>
          <w:p>
            <w:pPr/>
            <w:r>
              <w:t xml:space="preserve">Kennzeichnung als Pfade im integrierten Modell Q2 fehlte</w:t>
            </w:r>
          </w:p>
        </w:tc>
        <w:tc>
          <w:tcPr>
            <w:tcW w:w="1560" w:type="dxa"/>
          </w:tcPr>
          <w:p>
            <w:pPr/>
            <w:r>
              <w:t xml:space="preserve">gering</w:t>
            </w:r>
          </w:p>
        </w:tc>
        <w:tc>
          <w:tcPr>
            <w:tcW w:w="1560" w:type="dxa"/>
          </w:tcPr>
          <w:p>
            <w:pPr/>
            <w:r>
              <w:t xml:space="preserve">ergänzt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</w:t>
            </w:r>
          </w:p>
        </w:tc>
        <w:tc>
          <w:tcPr>
            <w:tcW w:w="1560" w:type="dxa"/>
          </w:tcPr>
          <w:p>
            <w:pPr/>
            <w:r>
              <w:t xml:space="preserve">A</w:t>
            </w:r>
          </w:p>
        </w:tc>
        <w:tc>
          <w:tcPr>
            <w:tcW w:w="1560" w:type="dxa"/>
          </w:tcPr>
          <w:p>
            <w:pPr/>
            <w:r>
              <w:t xml:space="preserve">Q4-I1–I3</w:t>
            </w:r>
          </w:p>
        </w:tc>
        <w:tc>
          <w:tcPr>
            <w:tcW w:w="1560" w:type="dxa"/>
          </w:tcPr>
          <w:p>
            <w:pPr/>
            <w:r>
              <w:t xml:space="preserve">Theoriespalte ohne Ajzen &amp; Fishbein (1975)</w:t>
            </w:r>
          </w:p>
        </w:tc>
        <w:tc>
          <w:tcPr>
            <w:tcW w:w="1560" w:type="dxa"/>
          </w:tcPr>
          <w:p>
            <w:pPr/>
            <w:r>
              <w:t xml:space="preserve">gering</w:t>
            </w:r>
          </w:p>
        </w:tc>
        <w:tc>
          <w:tcPr>
            <w:tcW w:w="1560" w:type="dxa"/>
          </w:tcPr>
          <w:p>
            <w:pPr/>
            <w:r>
              <w:t xml:space="preserve">ergänzt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4</w:t>
            </w:r>
          </w:p>
        </w:tc>
        <w:tc>
          <w:tcPr>
            <w:tcW w:w="1560" w:type="dxa"/>
          </w:tcPr>
          <w:p>
            <w:pPr/>
            <w:r>
              <w:t xml:space="preserve">B</w:t>
            </w:r>
          </w:p>
        </w:tc>
        <w:tc>
          <w:tcPr>
            <w:tcW w:w="1560" w:type="dxa"/>
          </w:tcPr>
          <w:p>
            <w:pPr/>
            <w:r>
              <w:t xml:space="preserve">MAILS-24</w:t>
            </w:r>
          </w:p>
        </w:tc>
        <w:tc>
          <w:tcPr>
            <w:tcW w:w="1560" w:type="dxa"/>
          </w:tcPr>
          <w:p>
            <w:pPr/>
            <w:r>
              <w:t xml:space="preserve">„gut allein“ koppelt Qualität und Selbstständigkeit</w:t>
            </w:r>
          </w:p>
        </w:tc>
        <w:tc>
          <w:tcPr>
            <w:tcW w:w="1560" w:type="dxa"/>
          </w:tcPr>
          <w:p>
            <w:pPr/>
            <w:r>
              <w:t xml:space="preserve">gering</w:t>
            </w:r>
          </w:p>
        </w:tc>
        <w:tc>
          <w:tcPr>
            <w:tcW w:w="1560" w:type="dxa"/>
          </w:tcPr>
          <w:p>
            <w:pPr/>
            <w:r>
              <w:t xml:space="preserve">„gut“ entfernt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5</w:t>
            </w:r>
          </w:p>
        </w:tc>
        <w:tc>
          <w:tcPr>
            <w:tcW w:w="1560" w:type="dxa"/>
          </w:tcPr>
          <w:p>
            <w:pPr/>
            <w:r>
              <w:t xml:space="preserve">B</w:t>
            </w:r>
          </w:p>
        </w:tc>
        <w:tc>
          <w:tcPr>
            <w:tcW w:w="1560" w:type="dxa"/>
          </w:tcPr>
          <w:p>
            <w:pPr/>
            <w:r>
              <w:t xml:space="preserve">Q4-T3</w:t>
            </w:r>
          </w:p>
        </w:tc>
        <w:tc>
          <w:tcPr>
            <w:tcW w:w="1560" w:type="dxa"/>
          </w:tcPr>
          <w:p>
            <w:pPr/>
            <w:r>
              <w:t xml:space="preserve">Kopplung „überlassen“ + „ohne Kontrolle“ ohne Begründung</w:t>
            </w:r>
          </w:p>
        </w:tc>
        <w:tc>
          <w:tcPr>
            <w:tcW w:w="1560" w:type="dxa"/>
          </w:tcPr>
          <w:p>
            <w:pPr/>
            <w:r>
              <w:t xml:space="preserve">mittel</w:t>
            </w:r>
          </w:p>
        </w:tc>
        <w:tc>
          <w:tcPr>
            <w:tcW w:w="1560" w:type="dxa"/>
          </w:tcPr>
          <w:p>
            <w:pPr/>
            <w:r>
              <w:t xml:space="preserve">Begründung mit Trust-Definition ergänzt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6</w:t>
            </w:r>
          </w:p>
        </w:tc>
        <w:tc>
          <w:tcPr>
            <w:tcW w:w="1560" w:type="dxa"/>
          </w:tcPr>
          <w:p>
            <w:pPr/>
            <w:r>
              <w:t xml:space="preserve">C (Regel 3)</w:t>
            </w:r>
          </w:p>
        </w:tc>
        <w:tc>
          <w:tcPr>
            <w:tcW w:w="1560" w:type="dxa"/>
          </w:tcPr>
          <w:p>
            <w:pPr/>
            <w:r>
              <w:t xml:space="preserve">Q4-U2</w:t>
            </w:r>
          </w:p>
        </w:tc>
        <w:tc>
          <w:tcPr>
            <w:tcW w:w="1560" w:type="dxa"/>
          </w:tcPr>
          <w:p>
            <w:pPr/>
            <w:r>
              <w:t xml:space="preserve">„unmenschlich“ mehrdeutig</w:t>
            </w:r>
          </w:p>
        </w:tc>
        <w:tc>
          <w:tcPr>
            <w:tcW w:w="1560" w:type="dxa"/>
          </w:tcPr>
          <w:p>
            <w:pPr/>
            <w:r>
              <w:t xml:space="preserve">schwer</w:t>
            </w:r>
          </w:p>
        </w:tc>
        <w:tc>
          <w:tcPr>
            <w:tcW w:w="1560" w:type="dxa"/>
          </w:tcPr>
          <w:p>
            <w:pPr/>
            <w:r>
              <w:t xml:space="preserve">„nicht menschlich“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7</w:t>
            </w:r>
          </w:p>
        </w:tc>
        <w:tc>
          <w:tcPr>
            <w:tcW w:w="1560" w:type="dxa"/>
          </w:tcPr>
          <w:p>
            <w:pPr/>
            <w:r>
              <w:t xml:space="preserve">C (Regel 3)</w:t>
            </w:r>
          </w:p>
        </w:tc>
        <w:tc>
          <w:tcPr>
            <w:tcW w:w="1560" w:type="dxa"/>
          </w:tcPr>
          <w:p>
            <w:pPr/>
            <w:r>
              <w:t xml:space="preserve">Q4-D1</w:t>
            </w:r>
          </w:p>
        </w:tc>
        <w:tc>
          <w:tcPr>
            <w:tcW w:w="1560" w:type="dxa"/>
          </w:tcPr>
          <w:p>
            <w:pPr/>
            <w:r>
              <w:t xml:space="preserve">„keine Bedenken, dass … weitergibt“ logisch mehrdeutig</w:t>
            </w:r>
          </w:p>
        </w:tc>
        <w:tc>
          <w:tcPr>
            <w:tcW w:w="1560" w:type="dxa"/>
          </w:tcPr>
          <w:p>
            <w:pPr/>
            <w:r>
              <w:t xml:space="preserve">schwer</w:t>
            </w:r>
          </w:p>
        </w:tc>
        <w:tc>
          <w:tcPr>
            <w:tcW w:w="1560" w:type="dxa"/>
          </w:tcPr>
          <w:p>
            <w:pPr/>
            <w:r>
              <w:t xml:space="preserve">positiv formuliert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8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ATAI-05</w:t>
            </w:r>
          </w:p>
        </w:tc>
        <w:tc>
          <w:tcPr>
            <w:tcW w:w="1560" w:type="dxa"/>
          </w:tcPr>
          <w:p>
            <w:pPr/>
            <w:r>
              <w:t xml:space="preserve">„viel“ als Verstärker</w:t>
            </w:r>
          </w:p>
        </w:tc>
        <w:tc>
          <w:tcPr>
            <w:tcW w:w="1560" w:type="dxa"/>
          </w:tcPr>
          <w:p>
            <w:pPr/>
            <w:r>
              <w:t xml:space="preserve">gering</w:t>
            </w:r>
          </w:p>
        </w:tc>
        <w:tc>
          <w:tcPr>
            <w:tcW w:w="1560" w:type="dxa"/>
          </w:tcPr>
          <w:p>
            <w:pPr/>
            <w:r>
              <w:t xml:space="preserve">Original begründet beibehalten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9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ATAI-03, Q4-U1, Q4-U3, Q4-D3</w:t>
            </w:r>
          </w:p>
        </w:tc>
        <w:tc>
          <w:tcPr>
            <w:tcW w:w="1560" w:type="dxa"/>
          </w:tcPr>
          <w:p>
            <w:pPr/>
            <w:r>
              <w:t xml:space="preserve">wertende Begriffe</w:t>
            </w:r>
          </w:p>
        </w:tc>
        <w:tc>
          <w:tcPr>
            <w:tcW w:w="1560" w:type="dxa"/>
          </w:tcPr>
          <w:p>
            <w:pPr/>
            <w:r>
              <w:t xml:space="preserve">gering</w:t>
            </w:r>
          </w:p>
        </w:tc>
        <w:tc>
          <w:tcPr>
            <w:tcW w:w="1560" w:type="dxa"/>
          </w:tcPr>
          <w:p>
            <w:pPr/>
            <w:r>
              <w:t xml:space="preserve">als Konstruktinhalt gekennzeichnet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10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Q2-PEOU-2</w:t>
            </w:r>
          </w:p>
        </w:tc>
        <w:tc>
          <w:tcPr>
            <w:tcW w:w="1560" w:type="dxa"/>
          </w:tcPr>
          <w:p>
            <w:pPr/>
            <w:r>
              <w:t xml:space="preserve">„Hauptfunktion“ unterstellt eine einzige Funktion</w:t>
            </w:r>
          </w:p>
        </w:tc>
        <w:tc>
          <w:tcPr>
            <w:tcW w:w="1560" w:type="dxa"/>
          </w:tcPr>
          <w:p>
            <w:pPr/>
            <w:r>
              <w:t xml:space="preserve">gering</w:t>
            </w:r>
          </w:p>
        </w:tc>
        <w:tc>
          <w:tcPr>
            <w:tcW w:w="1560" w:type="dxa"/>
          </w:tcPr>
          <w:p>
            <w:pPr/>
            <w:r>
              <w:t xml:space="preserve">in Copilot-Beschreibung nennen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11</w:t>
            </w:r>
          </w:p>
        </w:tc>
        <w:tc>
          <w:tcPr>
            <w:tcW w:w="1560" w:type="dxa"/>
          </w:tcPr>
          <w:p>
            <w:pPr/>
            <w:r>
              <w:t xml:space="preserve">D</w:t>
            </w:r>
          </w:p>
        </w:tc>
        <w:tc>
          <w:tcPr>
            <w:tcW w:w="1560" w:type="dxa"/>
          </w:tcPr>
          <w:p>
            <w:pPr/>
            <w:r>
              <w:t xml:space="preserve">Q4</w:t>
            </w:r>
          </w:p>
        </w:tc>
        <w:tc>
          <w:tcPr>
            <w:tcW w:w="1560" w:type="dxa"/>
          </w:tcPr>
          <w:p>
            <w:pPr/>
            <w:r>
              <w:t xml:space="preserve">Originalskala nicht in den Quellen enthalten</w:t>
            </w:r>
          </w:p>
        </w:tc>
        <w:tc>
          <w:tcPr>
            <w:tcW w:w="1560" w:type="dxa"/>
          </w:tcPr>
          <w:p>
            <w:pPr/>
            <w:r>
              <w:t xml:space="preserve">mittel</w:t>
            </w:r>
          </w:p>
        </w:tc>
        <w:tc>
          <w:tcPr>
            <w:tcW w:w="1560" w:type="dxa"/>
          </w:tcPr>
          <w:p>
            <w:pPr/>
            <w:r>
              <w:t xml:space="preserve">als offene Frage markiert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12</w:t>
            </w:r>
          </w:p>
        </w:tc>
        <w:tc>
          <w:tcPr>
            <w:tcW w:w="1560" w:type="dxa"/>
          </w:tcPr>
          <w:p>
            <w:pPr/>
            <w:r>
              <w:t xml:space="preserve">D</w:t>
            </w:r>
          </w:p>
        </w:tc>
        <w:tc>
          <w:tcPr>
            <w:tcW w:w="1560" w:type="dxa"/>
          </w:tcPr>
          <w:p>
            <w:pPr/>
            <w:r>
              <w:t xml:space="preserve">Tab. 1</w:t>
            </w:r>
          </w:p>
        </w:tc>
        <w:tc>
          <w:tcPr>
            <w:tcW w:w="1560" w:type="dxa"/>
          </w:tcPr>
          <w:p>
            <w:pPr/>
            <w:r>
              <w:t xml:space="preserve">Aussage ohne Kennzeichnung</w:t>
            </w:r>
          </w:p>
        </w:tc>
        <w:tc>
          <w:tcPr>
            <w:tcW w:w="1560" w:type="dxa"/>
          </w:tcPr>
          <w:p>
            <w:pPr/>
            <w:r>
              <w:t xml:space="preserve">gering</w:t>
            </w:r>
          </w:p>
        </w:tc>
        <w:tc>
          <w:tcPr>
            <w:tcW w:w="1560" w:type="dxa"/>
          </w:tcPr>
          <w:p>
            <w:pPr/>
            <w:r>
              <w:t xml:space="preserve">[eigene Bewertung] ergänzt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13</w:t>
            </w:r>
          </w:p>
        </w:tc>
        <w:tc>
          <w:tcPr>
            <w:tcW w:w="1560" w:type="dxa"/>
          </w:tcPr>
          <w:p>
            <w:pPr/>
            <w:r>
              <w:t xml:space="preserve">D</w:t>
            </w:r>
          </w:p>
        </w:tc>
        <w:tc>
          <w:tcPr>
            <w:tcW w:w="1560" w:type="dxa"/>
          </w:tcPr>
          <w:p>
            <w:pPr/>
            <w:r>
              <w:t xml:space="preserve">Tab. 5</w:t>
            </w:r>
          </w:p>
        </w:tc>
        <w:tc>
          <w:tcPr>
            <w:tcW w:w="1560" w:type="dxa"/>
          </w:tcPr>
          <w:p>
            <w:pPr/>
            <w:r>
              <w:t xml:space="preserve">Sekundärzitate unvollständig</w:t>
            </w:r>
          </w:p>
        </w:tc>
        <w:tc>
          <w:tcPr>
            <w:tcW w:w="1560" w:type="dxa"/>
          </w:tcPr>
          <w:p>
            <w:pPr/>
            <w:r>
              <w:t xml:space="preserve">gering</w:t>
            </w:r>
          </w:p>
        </w:tc>
        <w:tc>
          <w:tcPr>
            <w:tcW w:w="1560" w:type="dxa"/>
          </w:tcPr>
          <w:p>
            <w:pPr/>
            <w:r>
              <w:t xml:space="preserve">ergänzt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14</w:t>
            </w:r>
          </w:p>
        </w:tc>
        <w:tc>
          <w:tcPr>
            <w:tcW w:w="1560" w:type="dxa"/>
          </w:tcPr>
          <w:p>
            <w:pPr/>
            <w:r>
              <w:t xml:space="preserve">D</w:t>
            </w:r>
          </w:p>
        </w:tc>
        <w:tc>
          <w:tcPr>
            <w:tcW w:w="1560" w:type="dxa"/>
          </w:tcPr>
          <w:p>
            <w:pPr/>
            <w:r>
              <w:t xml:space="preserve">H1</w:t>
            </w:r>
          </w:p>
        </w:tc>
        <w:tc>
          <w:tcPr>
            <w:tcW w:w="1560" w:type="dxa"/>
          </w:tcPr>
          <w:p>
            <w:pPr/>
            <w:r>
              <w:t xml:space="preserve">Gegenannahme ohne verfügbaren Quellenbefund</w:t>
            </w:r>
          </w:p>
        </w:tc>
        <w:tc>
          <w:tcPr>
            <w:tcW w:w="1560" w:type="dxa"/>
          </w:tcPr>
          <w:p>
            <w:pPr/>
            <w:r>
              <w:t xml:space="preserve">gering</w:t>
            </w:r>
          </w:p>
        </w:tc>
        <w:tc>
          <w:tcPr>
            <w:tcW w:w="1560" w:type="dxa"/>
          </w:tcPr>
          <w:p>
            <w:pPr/>
            <w:r>
              <w:t xml:space="preserve">Alterseffekt ergänzt</w:t>
            </w:r>
          </w:p>
        </w:tc>
      </w:tr>
    </w:tbl>
    <w:p>
      <w:pPr>
        <w:pStyle w:val="Heading2"/>
      </w:pPr>
      <w:r>
        <w:t xml:space="preserve">Durchlauf 2 – Zweitprüfung der Endfassung</w:t>
      </w:r>
    </w:p>
    <w:p>
      <w:pPr/>
      <w:r>
        <w:t xml:space="preserve">Die Zweitprüfung fand 16 weitere Befunde, die Durchlauf 1 übersehen hatte; sie sind noch nicht in den Fragebogen übernommen.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Nr.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Kriterium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Fundstelle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Evaluation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Schwere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Korrekturvorschlag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A</w:t>
            </w:r>
          </w:p>
        </w:tc>
        <w:tc>
          <w:tcPr>
            <w:tcW w:w="1560" w:type="dxa"/>
          </w:tcPr>
          <w:p>
            <w:pPr/>
            <w:r>
              <w:t xml:space="preserve">Q4-T2</w:t>
            </w:r>
          </w:p>
        </w:tc>
        <w:tc>
          <w:tcPr>
            <w:tcW w:w="1560" w:type="dxa"/>
          </w:tcPr>
          <w:p>
            <w:pPr/>
            <w:r>
              <w:t xml:space="preserve">Misst nach Korrektur eine Überzeugung über Copilot statt der Bereitschaft, sich verwundbar zu machen (Mayer et al., 1995, zit. n. Do Khac et al., 2025)</w:t>
            </w:r>
          </w:p>
        </w:tc>
        <w:tc>
          <w:tcPr>
            <w:tcW w:w="1560" w:type="dxa"/>
          </w:tcPr>
          <w:p>
            <w:pPr/>
            <w:r>
              <w:t xml:space="preserve">schwer</w:t>
            </w:r>
          </w:p>
        </w:tc>
        <w:tc>
          <w:tcPr>
            <w:tcW w:w="1560" w:type="dxa"/>
          </w:tcPr>
          <w:p>
            <w:pPr/>
            <w:r>
              <w:t xml:space="preserve">„Ich würde Copilot nur mit menschlicher Kontrolle einsetzen.“ (R)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A</w:t>
            </w:r>
          </w:p>
        </w:tc>
        <w:tc>
          <w:tcPr>
            <w:tcW w:w="1560" w:type="dxa"/>
          </w:tcPr>
          <w:p>
            <w:pPr/>
            <w:r>
              <w:t xml:space="preserve">Q2-PBC-3, H14</w:t>
            </w:r>
          </w:p>
        </w:tc>
        <w:tc>
          <w:tcPr>
            <w:tcW w:w="1560" w:type="dxa"/>
          </w:tcPr>
          <w:p>
            <w:pPr/>
            <w:r>
              <w:t xml:space="preserve">Selbstwirksamkeits-Inhalt überschneidet sich mit MAILS AI Self-Efficacy; H14 kann überschätzt werden</w:t>
            </w:r>
          </w:p>
        </w:tc>
        <w:tc>
          <w:tcPr>
            <w:tcW w:w="1560" w:type="dxa"/>
          </w:tcPr>
          <w:p>
            <w:pPr/>
            <w:r>
              <w:t xml:space="preserve">mittel</w:t>
            </w:r>
          </w:p>
        </w:tc>
        <w:tc>
          <w:tcPr>
            <w:tcW w:w="1560" w:type="dxa"/>
          </w:tcPr>
          <w:p>
            <w:pPr/>
            <w:r>
              <w:t xml:space="preserve">Sensitivitätsanalyse ohne Q2-PBC-3; Blöcke trennen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</w:t>
            </w:r>
          </w:p>
        </w:tc>
        <w:tc>
          <w:tcPr>
            <w:tcW w:w="1560" w:type="dxa"/>
          </w:tcPr>
          <w:p>
            <w:pPr/>
            <w:r>
              <w:t xml:space="preserve">A</w:t>
            </w:r>
          </w:p>
        </w:tc>
        <w:tc>
          <w:tcPr>
            <w:tcW w:w="1560" w:type="dxa"/>
          </w:tcPr>
          <w:p>
            <w:pPr/>
            <w:r>
              <w:t xml:space="preserve">H13, H14</w:t>
            </w:r>
          </w:p>
        </w:tc>
        <w:tc>
          <w:tcPr>
            <w:tcW w:w="1560" w:type="dxa"/>
          </w:tcPr>
          <w:p>
            <w:pPr/>
            <w:r>
              <w:t xml:space="preserve">Prädiktoren allgemein (KI), Kriterien spezifisch (Copilot) [Modellwissen]</w:t>
            </w:r>
          </w:p>
        </w:tc>
        <w:tc>
          <w:tcPr>
            <w:tcW w:w="1560" w:type="dxa"/>
          </w:tcPr>
          <w:p>
            <w:pPr/>
            <w:r>
              <w:t xml:space="preserve">mittel</w:t>
            </w:r>
          </w:p>
        </w:tc>
        <w:tc>
          <w:tcPr>
            <w:tcW w:w="1560" w:type="dxa"/>
          </w:tcPr>
          <w:p>
            <w:pPr/>
            <w:r>
              <w:t xml:space="preserve">als Limitation ergänzen; nicht kausal formulieren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4</w:t>
            </w:r>
          </w:p>
        </w:tc>
        <w:tc>
          <w:tcPr>
            <w:tcW w:w="1560" w:type="dxa"/>
          </w:tcPr>
          <w:p>
            <w:pPr/>
            <w:r>
              <w:t xml:space="preserve">A</w:t>
            </w:r>
          </w:p>
        </w:tc>
        <w:tc>
          <w:tcPr>
            <w:tcW w:w="1560" w:type="dxa"/>
          </w:tcPr>
          <w:p>
            <w:pPr/>
            <w:r>
              <w:t xml:space="preserve">Q2-BI, Q4-I</w:t>
            </w:r>
          </w:p>
        </w:tc>
        <w:tc>
          <w:tcPr>
            <w:tcW w:w="1560" w:type="dxa"/>
          </w:tcPr>
          <w:p>
            <w:pPr/>
            <w:r>
              <w:t xml:space="preserve">Gemeinsamer Index würde Theorien in der Auswertung vermischen</w:t>
            </w:r>
          </w:p>
        </w:tc>
        <w:tc>
          <w:tcPr>
            <w:tcW w:w="1560" w:type="dxa"/>
          </w:tcPr>
          <w:p>
            <w:pPr/>
            <w:r>
              <w:t xml:space="preserve">mittel</w:t>
            </w:r>
          </w:p>
        </w:tc>
        <w:tc>
          <w:tcPr>
            <w:tcW w:w="1560" w:type="dxa"/>
          </w:tcPr>
          <w:p>
            <w:pPr/>
            <w:r>
              <w:t xml:space="preserve">Auswertungsregel: kein Index über Instrumente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5</w:t>
            </w:r>
          </w:p>
        </w:tc>
        <w:tc>
          <w:tcPr>
            <w:tcW w:w="1560" w:type="dxa"/>
          </w:tcPr>
          <w:p>
            <w:pPr/>
            <w:r>
              <w:t xml:space="preserve">A</w:t>
            </w:r>
          </w:p>
        </w:tc>
        <w:tc>
          <w:tcPr>
            <w:tcW w:w="1560" w:type="dxa"/>
          </w:tcPr>
          <w:p>
            <w:pPr/>
            <w:r>
              <w:t xml:space="preserve">Q2-PU-1</w:t>
            </w:r>
          </w:p>
        </w:tc>
        <w:tc>
          <w:tcPr>
            <w:tcW w:w="1560" w:type="dxa"/>
          </w:tcPr>
          <w:p>
            <w:pPr/>
            <w:r>
              <w:t xml:space="preserve">I-Adaption ist faktisch ein neues Item</w:t>
            </w:r>
          </w:p>
        </w:tc>
        <w:tc>
          <w:tcPr>
            <w:tcW w:w="1560" w:type="dxa"/>
          </w:tcPr>
          <w:p>
            <w:pPr/>
            <w:r>
              <w:t xml:space="preserve">mittel</w:t>
            </w:r>
          </w:p>
        </w:tc>
        <w:tc>
          <w:tcPr>
            <w:tcW w:w="1560" w:type="dxa"/>
          </w:tcPr>
          <w:p>
            <w:pPr/>
            <w:r>
              <w:t xml:space="preserve">nur Q2-PU-4 oder Pretest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6</w:t>
            </w:r>
          </w:p>
        </w:tc>
        <w:tc>
          <w:tcPr>
            <w:tcW w:w="1560" w:type="dxa"/>
          </w:tcPr>
          <w:p>
            <w:pPr/>
            <w:r>
              <w:t xml:space="preserve">A</w:t>
            </w:r>
          </w:p>
        </w:tc>
        <w:tc>
          <w:tcPr>
            <w:tcW w:w="1560" w:type="dxa"/>
          </w:tcPr>
          <w:p>
            <w:pPr/>
            <w:r>
              <w:t xml:space="preserve">Lesehilfe vs. Tab. 2</w:t>
            </w:r>
          </w:p>
        </w:tc>
        <w:tc>
          <w:tcPr>
            <w:tcW w:w="1560" w:type="dxa"/>
          </w:tcPr>
          <w:p>
            <w:pPr/>
            <w:r>
              <w:t xml:space="preserve">Emotion Regulation einmal unter Können, einmal unter Fühlen</w:t>
            </w:r>
          </w:p>
        </w:tc>
        <w:tc>
          <w:tcPr>
            <w:tcW w:w="1560" w:type="dxa"/>
          </w:tcPr>
          <w:p>
            <w:pPr/>
            <w:r>
              <w:t xml:space="preserve">gering</w:t>
            </w:r>
          </w:p>
        </w:tc>
        <w:tc>
          <w:tcPr>
            <w:tcW w:w="1560" w:type="dxa"/>
          </w:tcPr>
          <w:p>
            <w:pPr/>
            <w:r>
              <w:t xml:space="preserve">einheitlich unter Können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7</w:t>
            </w:r>
          </w:p>
        </w:tc>
        <w:tc>
          <w:tcPr>
            <w:tcW w:w="1560" w:type="dxa"/>
          </w:tcPr>
          <w:p>
            <w:pPr/>
            <w:r>
              <w:t xml:space="preserve">B</w:t>
            </w:r>
          </w:p>
        </w:tc>
        <w:tc>
          <w:tcPr>
            <w:tcW w:w="1560" w:type="dxa"/>
          </w:tcPr>
          <w:p>
            <w:pPr/>
            <w:r>
              <w:t xml:space="preserve">MAILS-25</w:t>
            </w:r>
          </w:p>
        </w:tc>
        <w:tc>
          <w:tcPr>
            <w:tcW w:w="1560" w:type="dxa"/>
          </w:tcPr>
          <w:p>
            <w:pPr/>
            <w:r>
              <w:t xml:space="preserve">„meist gut“ koppelt Häufigkeit und Qualität</w:t>
            </w:r>
          </w:p>
        </w:tc>
        <w:tc>
          <w:tcPr>
            <w:tcW w:w="1560" w:type="dxa"/>
          </w:tcPr>
          <w:p>
            <w:pPr/>
            <w:r>
              <w:t xml:space="preserve">gering</w:t>
            </w:r>
          </w:p>
        </w:tc>
        <w:tc>
          <w:tcPr>
            <w:tcW w:w="1560" w:type="dxa"/>
          </w:tcPr>
          <w:p>
            <w:pPr/>
            <w:r>
              <w:t xml:space="preserve">„meist gut“ entfernen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8</w:t>
            </w:r>
          </w:p>
        </w:tc>
        <w:tc>
          <w:tcPr>
            <w:tcW w:w="1560" w:type="dxa"/>
          </w:tcPr>
          <w:p>
            <w:pPr/>
            <w:r>
              <w:t xml:space="preserve">B</w:t>
            </w:r>
          </w:p>
        </w:tc>
        <w:tc>
          <w:tcPr>
            <w:tcW w:w="1560" w:type="dxa"/>
          </w:tcPr>
          <w:p>
            <w:pPr/>
            <w:r>
              <w:t xml:space="preserve">Q4-T3</w:t>
            </w:r>
          </w:p>
        </w:tc>
        <w:tc>
          <w:tcPr>
            <w:tcW w:w="1560" w:type="dxa"/>
          </w:tcPr>
          <w:p>
            <w:pPr/>
            <w:r>
              <w:t xml:space="preserve">Kopplung bleibt (begründet)</w:t>
            </w:r>
          </w:p>
        </w:tc>
        <w:tc>
          <w:tcPr>
            <w:tcW w:w="1560" w:type="dxa"/>
          </w:tcPr>
          <w:p>
            <w:pPr/>
            <w:r>
              <w:t xml:space="preserve">gering</w:t>
            </w:r>
          </w:p>
        </w:tc>
        <w:tc>
          <w:tcPr>
            <w:tcW w:w="1560" w:type="dxa"/>
          </w:tcPr>
          <w:p>
            <w:pPr/>
            <w:r>
              <w:t xml:space="preserve">beibehalten, im Pretest prüfen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9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Q4-X, Q4-U, Q4-T4, Q2-PEOU</w:t>
            </w:r>
          </w:p>
        </w:tc>
        <w:tc>
          <w:tcPr>
            <w:tcW w:w="1560" w:type="dxa"/>
          </w:tcPr>
          <w:p>
            <w:pPr/>
            <w:r>
              <w:t xml:space="preserve">Indikativ unterstellt Erfahrung; ca. 30 % ohne ChatGPT-Erfahrung in Q4 (Do Khac et al., 2025)</w:t>
            </w:r>
          </w:p>
        </w:tc>
        <w:tc>
          <w:tcPr>
            <w:tcW w:w="1560" w:type="dxa"/>
          </w:tcPr>
          <w:p>
            <w:pPr/>
            <w:r>
              <w:t xml:space="preserve">mittel</w:t>
            </w:r>
          </w:p>
        </w:tc>
        <w:tc>
          <w:tcPr>
            <w:tcW w:w="1560" w:type="dxa"/>
          </w:tcPr>
          <w:p>
            <w:pPr/>
            <w:r>
              <w:t xml:space="preserve">Konjunktiv; Option „kann ich nicht beurteilen“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10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Copilot-Beschreibung</w:t>
            </w:r>
          </w:p>
        </w:tc>
        <w:tc>
          <w:tcPr>
            <w:tcW w:w="1560" w:type="dxa"/>
          </w:tcPr>
          <w:p>
            <w:pPr/>
            <w:r>
              <w:t xml:space="preserve">angekündigt, nicht formuliert; Q2 und Q3 nutzten neutrale Beschreibungen</w:t>
            </w:r>
          </w:p>
        </w:tc>
        <w:tc>
          <w:tcPr>
            <w:tcW w:w="1560" w:type="dxa"/>
          </w:tcPr>
          <w:p>
            <w:pPr/>
            <w:r>
              <w:t xml:space="preserve">mittel</w:t>
            </w:r>
          </w:p>
        </w:tc>
        <w:tc>
          <w:tcPr>
            <w:tcW w:w="1560" w:type="dxa"/>
          </w:tcPr>
          <w:p>
            <w:pPr/>
            <w:r>
              <w:t xml:space="preserve">neutrale Beschreibung mit Funktionen und Grenzen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11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Instruktion</w:t>
            </w:r>
          </w:p>
        </w:tc>
        <w:tc>
          <w:tcPr>
            <w:tcW w:w="1560" w:type="dxa"/>
          </w:tcPr>
          <w:p>
            <w:pPr/>
            <w:r>
              <w:t xml:space="preserve">Anonymitätshinweis fehlt; Q2 folgte Kortmann (2015, zit. n. Wichmann et al., 2025)</w:t>
            </w:r>
          </w:p>
        </w:tc>
        <w:tc>
          <w:tcPr>
            <w:tcW w:w="1560" w:type="dxa"/>
          </w:tcPr>
          <w:p>
            <w:pPr/>
            <w:r>
              <w:t xml:space="preserve">mittel</w:t>
            </w:r>
          </w:p>
        </w:tc>
        <w:tc>
          <w:tcPr>
            <w:tcW w:w="1560" w:type="dxa"/>
          </w:tcPr>
          <w:p>
            <w:pPr/>
            <w:r>
              <w:t xml:space="preserve">Anonymitätssatz ergänzen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12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MAILS-26</w:t>
            </w:r>
          </w:p>
        </w:tc>
        <w:tc>
          <w:tcPr>
            <w:tcW w:w="1560" w:type="dxa"/>
          </w:tcPr>
          <w:p>
            <w:pPr/>
            <w:r>
              <w:t xml:space="preserve">Präsupposition „Trotz der schnellen Veränderungen“</w:t>
            </w:r>
          </w:p>
        </w:tc>
        <w:tc>
          <w:tcPr>
            <w:tcW w:w="1560" w:type="dxa"/>
          </w:tcPr>
          <w:p>
            <w:pPr/>
            <w:r>
              <w:t xml:space="preserve">gering</w:t>
            </w:r>
          </w:p>
        </w:tc>
        <w:tc>
          <w:tcPr>
            <w:tcW w:w="1560" w:type="dxa"/>
          </w:tcPr>
          <w:p>
            <w:pPr/>
            <w:r>
              <w:t xml:space="preserve">Nebensatz streichen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13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Q2-ATT, Q2-PN, Q2-BI</w:t>
            </w:r>
          </w:p>
        </w:tc>
        <w:tc>
          <w:tcPr>
            <w:tcW w:w="1560" w:type="dxa"/>
          </w:tcPr>
          <w:p>
            <w:pPr/>
            <w:r>
              <w:t xml:space="preserve">nur positiv gepolte Items, Zustimmungstendenz [Modellwissen]</w:t>
            </w:r>
          </w:p>
        </w:tc>
        <w:tc>
          <w:tcPr>
            <w:tcW w:w="1560" w:type="dxa"/>
          </w:tcPr>
          <w:p>
            <w:pPr/>
            <w:r>
              <w:t xml:space="preserve">gering</w:t>
            </w:r>
          </w:p>
        </w:tc>
        <w:tc>
          <w:tcPr>
            <w:tcW w:w="1560" w:type="dxa"/>
          </w:tcPr>
          <w:p>
            <w:pPr/>
            <w:r>
              <w:t xml:space="preserve">als Limitation nennen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14</w:t>
            </w:r>
          </w:p>
        </w:tc>
        <w:tc>
          <w:tcPr>
            <w:tcW w:w="1560" w:type="dxa"/>
          </w:tcPr>
          <w:p>
            <w:pPr/>
            <w:r>
              <w:t xml:space="preserve">D</w:t>
            </w:r>
          </w:p>
        </w:tc>
        <w:tc>
          <w:tcPr>
            <w:tcW w:w="1560" w:type="dxa"/>
          </w:tcPr>
          <w:p>
            <w:pPr/>
            <w:r>
              <w:t xml:space="preserve">MAILS-Skala</w:t>
            </w:r>
          </w:p>
        </w:tc>
        <w:tc>
          <w:tcPr>
            <w:tcW w:w="1560" w:type="dxa"/>
          </w:tcPr>
          <w:p>
            <w:pPr/>
            <w:r>
              <w:t xml:space="preserve">Wechsel des Antwortformats (Fähigkeit → Zustimmung) nicht belegt; 11 Stufen nach Bandura et al. (2006, zit. n. Carolus et al., 2023)</w:t>
            </w:r>
          </w:p>
        </w:tc>
        <w:tc>
          <w:tcPr>
            <w:tcW w:w="1560" w:type="dxa"/>
          </w:tcPr>
          <w:p>
            <w:pPr/>
            <w:r>
              <w:t xml:space="preserve">mittel</w:t>
            </w:r>
          </w:p>
        </w:tc>
        <w:tc>
          <w:tcPr>
            <w:tcW w:w="1560" w:type="dxa"/>
          </w:tcPr>
          <w:p>
            <w:pPr/>
            <w:r>
              <w:t xml:space="preserve">Hinweis und Blockinstruktion ergänzen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15</w:t>
            </w:r>
          </w:p>
        </w:tc>
        <w:tc>
          <w:tcPr>
            <w:tcW w:w="1560" w:type="dxa"/>
          </w:tcPr>
          <w:p>
            <w:pPr/>
            <w:r>
              <w:t xml:space="preserve">D</w:t>
            </w:r>
          </w:p>
        </w:tc>
        <w:tc>
          <w:tcPr>
            <w:tcW w:w="1560" w:type="dxa"/>
          </w:tcPr>
          <w:p>
            <w:pPr/>
            <w:r>
              <w:t xml:space="preserve">Tab. 2, Use &amp; Apply AI</w:t>
            </w:r>
          </w:p>
        </w:tc>
        <w:tc>
          <w:tcPr>
            <w:tcW w:w="1560" w:type="dxa"/>
          </w:tcPr>
          <w:p>
            <w:pPr/>
            <w:r>
              <w:t xml:space="preserve">Ng et al. (2021) vs. (2022) im Anhang</w:t>
            </w:r>
          </w:p>
        </w:tc>
        <w:tc>
          <w:tcPr>
            <w:tcW w:w="1560" w:type="dxa"/>
          </w:tcPr>
          <w:p>
            <w:pPr/>
            <w:r>
              <w:t xml:space="preserve">gering</w:t>
            </w:r>
          </w:p>
        </w:tc>
        <w:tc>
          <w:tcPr>
            <w:tcW w:w="1560" w:type="dxa"/>
          </w:tcPr>
          <w:p>
            <w:pPr/>
            <w:r>
              <w:t xml:space="preserve">beide nennen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16</w:t>
            </w:r>
          </w:p>
        </w:tc>
        <w:tc>
          <w:tcPr>
            <w:tcW w:w="1560" w:type="dxa"/>
          </w:tcPr>
          <w:p>
            <w:pPr/>
            <w:r>
              <w:t xml:space="preserve">D</w:t>
            </w:r>
          </w:p>
        </w:tc>
        <w:tc>
          <w:tcPr>
            <w:tcW w:w="1560" w:type="dxa"/>
          </w:tcPr>
          <w:p>
            <w:pPr/>
            <w:r>
              <w:t xml:space="preserve">Q2-PU-1</w:t>
            </w:r>
          </w:p>
        </w:tc>
        <w:tc>
          <w:tcPr>
            <w:tcW w:w="1560" w:type="dxa"/>
          </w:tcPr>
          <w:p>
            <w:pPr/>
            <w:r>
              <w:t xml:space="preserve">Adaptionsbegründung ohne Beleg</w:t>
            </w:r>
          </w:p>
        </w:tc>
        <w:tc>
          <w:tcPr>
            <w:tcW w:w="1560" w:type="dxa"/>
          </w:tcPr>
          <w:p>
            <w:pPr/>
            <w:r>
              <w:t xml:space="preserve">gering</w:t>
            </w:r>
          </w:p>
        </w:tc>
        <w:tc>
          <w:tcPr>
            <w:tcW w:w="1560" w:type="dxa"/>
          </w:tcPr>
          <w:p>
            <w:pPr/>
            <w:r>
              <w:t xml:space="preserve">Wichmann et al. (2025, Tab. 1) ergänzen</w:t>
            </w:r>
          </w:p>
        </w:tc>
      </w:tr>
    </w:tbl>
    <w:p>
      <w:pPr>
        <w:pStyle w:val="Heading2"/>
      </w:pPr>
      <w:r>
        <w:t xml:space="preserve">Ableitungen für die nächste Version</w:t>
      </w:r>
    </w:p>
    <w:p>
      <w:pPr/>
      <w:r>
        <w:t xml:space="preserve">Sieben Regeln adressieren die Befunde aus beiden Durchläufen [eigene Bewertung].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Nr.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Neue Regel für den Master-Prompt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adressiert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Nach jeder I-Korrektur das Item erneut mit der Konstruktdefinition derselben Quelle abgleichen.</w:t>
            </w:r>
          </w:p>
        </w:tc>
        <w:tc>
          <w:tcPr>
            <w:tcW w:w="3120" w:type="dxa"/>
          </w:tcPr>
          <w:p>
            <w:pPr/>
            <w:r>
              <w:t xml:space="preserve">Durchlauf 2, Nr. 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Bei Brückenhypothesen prüfen, ob Prädiktor- und Kriteriumsitems inhaltlich überlappen; wenn ja, Sensitivitätsanalyse vorsehen.</w:t>
            </w:r>
          </w:p>
        </w:tc>
        <w:tc>
          <w:tcPr>
            <w:tcW w:w="3120" w:type="dxa"/>
          </w:tcPr>
          <w:p>
            <w:pPr/>
            <w:r>
              <w:t xml:space="preserve">Durchlauf 2, Nr. 2–3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Auswertungsregel ausgeben: Jedes Kriterium nur im eigenen Modell; kein Gesamtindex über Theorien oder Instrumente.</w:t>
            </w:r>
          </w:p>
        </w:tc>
        <w:tc>
          <w:tcPr>
            <w:tcW w:w="3120" w:type="dxa"/>
          </w:tcPr>
          <w:p>
            <w:pPr/>
            <w:r>
              <w:t xml:space="preserve">Durchlauf 2, Nr. 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Phase vor der Einführung: Items erfahrungsunabhängig formulieren (Konjunktiv) und eine Ausweichoption anbieten.</w:t>
            </w:r>
          </w:p>
        </w:tc>
        <w:tc>
          <w:tcPr>
            <w:tcW w:w="3120" w:type="dxa"/>
          </w:tcPr>
          <w:p>
            <w:pPr/>
            <w:r>
              <w:t xml:space="preserve">Durchlauf 2, Nr. 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Pflichtbausteine der Instruktion: Anonymitätshinweis und ausformulierte neutrale Technologiebeschreibung.</w:t>
            </w:r>
          </w:p>
        </w:tc>
        <w:tc>
          <w:tcPr>
            <w:tcW w:w="3120" w:type="dxa"/>
          </w:tcPr>
          <w:p>
            <w:pPr/>
            <w:r>
              <w:t xml:space="preserve">Durchlauf 2, Nr. 10–11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Jeden Wechsel von Antwortformat oder Skalenbreite mit der Begründung der Originalquelle dokumentieren.</w:t>
            </w:r>
          </w:p>
        </w:tc>
        <w:tc>
          <w:tcPr>
            <w:tcW w:w="3120" w:type="dxa"/>
          </w:tcPr>
          <w:p>
            <w:pPr/>
            <w:r>
              <w:t xml:space="preserve">Durchlauf 2, Nr. 14; Durchlauf 1, Nr. 11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t xml:space="preserve">Prüfung durch ein separates Modell oder einen separaten Chat statt Selbstprüfung im selben Lauf.</w:t>
            </w:r>
          </w:p>
        </w:tc>
        <w:tc>
          <w:tcPr>
            <w:tcW w:w="3120" w:type="dxa"/>
          </w:tcPr>
          <w:p>
            <w:pPr/>
            <w:r>
              <w:t xml:space="preserve">16 von 30 Befunden erst in Durchlauf 2 gefunden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Evaluation Master-Prompt Version 2</dc:title>
  <dc:description>Claude Docs node/9b6ba87d-9c2d@6 docx-w6</dc:description>
  <cp:revision>6</cp:revision>
</cp:coreProperties>
</file>