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Fragebogen Copilot-Akzeptanz – Ausführung Master-Prompt</w:t>
      </w:r>
    </w:p>
    <w:p>
      <w:pPr/>
      <w:r>
        <w:t xml:space="preserve">Oct 15, 2026</w:t>
      </w:r>
      <w:r>
        <w:t xml:space="preserve"> · </w:t>
      </w:r>
      <w:r>
        <w:t xml:space="preserve">@Marianna</w:t>
      </w:r>
    </w:p>
    <w:p>
      <w:pPr>
        <w:pStyle w:val="Heading2"/>
      </w:pPr>
      <w:r>
        <w:t xml:space="preserve">Fall und Auswahl</w:t>
      </w:r>
    </w:p>
    <w:p>
      <w:pPr/>
      <w:r>
        <w:t xml:space="preserve">Fall: Microsoft Copilot | Beschäftigte ohne KI-Fachausbildung | vor der Einführung | Akzeptanz der geplanten Nutzung.</w:t>
      </w:r>
    </w:p>
    <w:p>
      <w:pPr/>
      <w:r>
        <w:t xml:space="preserve">Ausgewählt: </w:t>
      </w:r>
      <w:r>
        <w:rPr>
          <w:b/>
        </w:rPr>
        <w:t xml:space="preserve">Vertrauensmodell nach Mayer et al. (P4)</w:t>
      </w:r>
      <w:r>
        <w:t xml:space="preserve">, </w:t>
      </w:r>
      <w:r>
        <w:rPr>
          <w:b/>
        </w:rPr>
        <w:t xml:space="preserve">Reasoned Action Approach (P2)</w:t>
      </w:r>
      <w:r>
        <w:t xml:space="preserve"> und </w:t>
      </w:r>
      <w:r>
        <w:rPr>
          <w:b/>
        </w:rPr>
        <w:t xml:space="preserve">ATAI-Skala (S2)</w:t>
      </w:r>
      <w:r>
        <w:t xml:space="preserve">.</w:t>
      </w:r>
    </w:p>
    <w:p>
      <w:pPr/>
      <w:r>
        <w:t xml:space="preserve">ID-Schema: Dateipräfix + Fragebogen-Nr. im Katalog D1 + Originalbezeichnung. Beispiel: D1-Q4-T1 = Katalog D1, Questionnaire 4, Item T1.</w:t>
      </w:r>
    </w:p>
    <w:p>
      <w:pPr>
        <w:pStyle w:val="Heading2"/>
      </w:pPr>
      <w:r>
        <w:t xml:space="preserve">Tabelle A – Auswahl</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Theorie/Instrument</w:t>
            </w:r>
          </w:p>
        </w:tc>
        <w:tc>
          <w:tcPr>
            <w:tcW w:w="1337" w:type="dxa"/>
            <w:shd w:val="clear" w:color="auto" w:fill="F2F2F2"/>
          </w:tcPr>
          <w:p>
            <w:pPr/>
            <w:r>
              <w:t xml:space="preserve">Konstrukt (Originalname)</w:t>
            </w:r>
          </w:p>
        </w:tc>
        <w:tc>
          <w:tcPr>
            <w:tcW w:w="1337" w:type="dxa"/>
            <w:shd w:val="clear" w:color="auto" w:fill="F2F2F2"/>
          </w:tcPr>
          <w:p>
            <w:pPr/>
            <w:r>
              <w:t xml:space="preserve">Definition laut Quelle (Seite)</w:t>
            </w:r>
          </w:p>
        </w:tc>
        <w:tc>
          <w:tcPr>
            <w:tcW w:w="1337" w:type="dxa"/>
            <w:shd w:val="clear" w:color="auto" w:fill="F2F2F2"/>
          </w:tcPr>
          <w:p>
            <w:pPr/>
            <w:r>
              <w:t xml:space="preserve">Quelle</w:t>
            </w:r>
          </w:p>
        </w:tc>
        <w:tc>
          <w:tcPr>
            <w:tcW w:w="1337" w:type="dxa"/>
            <w:shd w:val="clear" w:color="auto" w:fill="F2F2F2"/>
          </w:tcPr>
          <w:p>
            <w:pPr/>
            <w:r>
              <w:t xml:space="preserve">Originalskala</w:t>
            </w:r>
          </w:p>
        </w:tc>
        <w:tc>
          <w:tcPr>
            <w:tcW w:w="1337" w:type="dxa"/>
            <w:shd w:val="clear" w:color="auto" w:fill="F2F2F2"/>
          </w:tcPr>
          <w:p>
            <w:pPr/>
            <w:r>
              <w:t xml:space="preserve">Passung zum Fall</w:t>
            </w:r>
          </w:p>
        </w:tc>
        <w:tc>
          <w:tcPr>
            <w:tcW w:w="1337" w:type="dxa"/>
            <w:shd w:val="clear" w:color="auto" w:fill="F2F2F2"/>
          </w:tcPr>
          <w:p>
            <w:pPr/>
            <w:r>
              <w:t xml:space="preserve">verworfene Alternativen</w:t>
            </w:r>
          </w:p>
        </w:tc>
      </w:tr>
      <w:tr>
        <w:tc>
          <w:tcPr>
            <w:tcW w:w="1337" w:type="dxa"/>
          </w:tcPr>
          <w:p>
            <w:pPr/>
            <w:r>
              <w:t xml:space="preserve">Integratives Vertrauensmodell (Mayer et al., 1995, zit. n. Do Khac et al., 2025)</w:t>
            </w:r>
          </w:p>
        </w:tc>
        <w:tc>
          <w:tcPr>
            <w:tcW w:w="1337" w:type="dxa"/>
          </w:tcPr>
          <w:p>
            <w:pPr/>
            <w:r>
              <w:t xml:space="preserve">Ability</w:t>
            </w:r>
          </w:p>
        </w:tc>
        <w:tc>
          <w:tcPr>
            <w:tcW w:w="1337" w:type="dxa"/>
          </w:tcPr>
          <w:p>
            <w:pPr/>
            <w:r>
              <w:t xml:space="preserve">Erfasst, wie gut Befragte nachvollziehen können, wie die Ergebnisse entstehen, also ob sie die Funktionsweise verstehen (S. 8)</w:t>
            </w:r>
          </w:p>
        </w:tc>
        <w:tc>
          <w:tcPr>
            <w:tcW w:w="1337" w:type="dxa"/>
          </w:tcPr>
          <w:p>
            <w:pPr/>
            <w:r>
              <w:t xml:space="preserve">Do Khac et al. (2025), P4</w:t>
            </w:r>
          </w:p>
        </w:tc>
        <w:tc>
          <w:tcPr>
            <w:tcW w:w="1337" w:type="dxa"/>
          </w:tcPr>
          <w:p>
            <w:pPr/>
            <w:r>
              <w:t xml:space="preserve">nicht in den Quellen enthalten</w:t>
            </w:r>
          </w:p>
        </w:tc>
        <w:tc>
          <w:tcPr>
            <w:tcW w:w="1337" w:type="dxa"/>
          </w:tcPr>
          <w:p>
            <w:pPr/>
            <w:r>
              <w:t xml:space="preserve">GenAI im Unternehmen, deutsche Stichprobe, deutsche Originalitems. Untersucht wurde die Einführung unternehmensinterner GenAI (S. 1). Einschränkung: Die Stichprobe bestand aus Führungskräften (S. 8).</w:t>
            </w:r>
          </w:p>
        </w:tc>
        <w:tc>
          <w:tcPr>
            <w:tcW w:w="1337" w:type="dxa"/>
          </w:tcPr>
          <w:p>
            <w:pPr/>
            <w:r>
              <w:t xml:space="preserve">–</w:t>
            </w:r>
          </w:p>
        </w:tc>
      </w:tr>
      <w:tr>
        <w:tc>
          <w:tcPr>
            <w:tcW w:w="1337" w:type="dxa"/>
          </w:tcPr>
          <w:p>
            <w:pPr/>
            <w:r>
              <w:t xml:space="preserve">″</w:t>
            </w:r>
          </w:p>
        </w:tc>
        <w:tc>
          <w:tcPr>
            <w:tcW w:w="1337" w:type="dxa"/>
          </w:tcPr>
          <w:p>
            <w:pPr/>
            <w:r>
              <w:t xml:space="preserve">Benevolence</w:t>
            </w:r>
          </w:p>
        </w:tc>
        <w:tc>
          <w:tcPr>
            <w:tcW w:w="1337" w:type="dxa"/>
          </w:tcPr>
          <w:p>
            <w:pPr/>
            <w:r>
              <w:t xml:space="preserve">Operationalisiert über die wahrgenommene Unheimlichkeit (uncanniness) von ChatGPT (S. 8)</w:t>
            </w:r>
          </w:p>
        </w:tc>
        <w:tc>
          <w:tcPr>
            <w:tcW w:w="1337" w:type="dxa"/>
          </w:tcPr>
          <w:p>
            <w:pPr/>
            <w:r>
              <w:t xml:space="preserve">″</w:t>
            </w:r>
          </w:p>
        </w:tc>
        <w:tc>
          <w:tcPr>
            <w:tcW w:w="1337" w:type="dxa"/>
          </w:tcPr>
          <w:p>
            <w:pPr/>
            <w:r>
              <w:t xml:space="preserve">″</w:t>
            </w:r>
          </w:p>
        </w:tc>
        <w:tc>
          <w:tcPr>
            <w:tcW w:w="1337" w:type="dxa"/>
          </w:tcPr>
          <w:p>
            <w:pPr/>
            <w:r>
              <w:t xml:space="preserve">″</w:t>
            </w:r>
          </w:p>
        </w:tc>
        <w:tc>
          <w:tcPr>
            <w:tcW w:w="1337" w:type="dxa"/>
          </w:tcPr>
          <w:p>
            <w:pPr/>
            <w:r>
              <w:t xml:space="preserve">–</w:t>
            </w:r>
          </w:p>
        </w:tc>
      </w:tr>
      <w:tr>
        <w:tc>
          <w:tcPr>
            <w:tcW w:w="1337" w:type="dxa"/>
          </w:tcPr>
          <w:p>
            <w:pPr/>
            <w:r>
              <w:t xml:space="preserve">″</w:t>
            </w:r>
          </w:p>
        </w:tc>
        <w:tc>
          <w:tcPr>
            <w:tcW w:w="1337" w:type="dxa"/>
          </w:tcPr>
          <w:p>
            <w:pPr/>
            <w:r>
              <w:t xml:space="preserve">Integrity</w:t>
            </w:r>
          </w:p>
        </w:tc>
        <w:tc>
          <w:tcPr>
            <w:tcW w:w="1337" w:type="dxa"/>
          </w:tcPr>
          <w:p>
            <w:pPr/>
            <w:r>
              <w:t xml:space="preserve">Bewertung, ob die Software die Informationen aus der Nutzung im Unternehmen hält (S. 8)</w:t>
            </w:r>
          </w:p>
        </w:tc>
        <w:tc>
          <w:tcPr>
            <w:tcW w:w="1337" w:type="dxa"/>
          </w:tcPr>
          <w:p>
            <w:pPr/>
            <w:r>
              <w:t xml:space="preserve">″</w:t>
            </w:r>
          </w:p>
        </w:tc>
        <w:tc>
          <w:tcPr>
            <w:tcW w:w="1337" w:type="dxa"/>
          </w:tcPr>
          <w:p>
            <w:pPr/>
            <w:r>
              <w:t xml:space="preserve">″</w:t>
            </w:r>
          </w:p>
        </w:tc>
        <w:tc>
          <w:tcPr>
            <w:tcW w:w="1337" w:type="dxa"/>
          </w:tcPr>
          <w:p>
            <w:pPr/>
            <w:r>
              <w:t xml:space="preserve">″</w:t>
            </w:r>
          </w:p>
        </w:tc>
        <w:tc>
          <w:tcPr>
            <w:tcW w:w="1337" w:type="dxa"/>
          </w:tcPr>
          <w:p>
            <w:pPr/>
            <w:r>
              <w:t xml:space="preserve">–</w:t>
            </w:r>
          </w:p>
        </w:tc>
      </w:tr>
      <w:tr>
        <w:tc>
          <w:tcPr>
            <w:tcW w:w="1337" w:type="dxa"/>
          </w:tcPr>
          <w:p>
            <w:pPr/>
            <w:r>
              <w:t xml:space="preserve">″</w:t>
            </w:r>
          </w:p>
        </w:tc>
        <w:tc>
          <w:tcPr>
            <w:tcW w:w="1337" w:type="dxa"/>
          </w:tcPr>
          <w:p>
            <w:pPr/>
            <w:r>
              <w:t xml:space="preserve">Trust</w:t>
            </w:r>
          </w:p>
        </w:tc>
        <w:tc>
          <w:tcPr>
            <w:tcW w:w="1337" w:type="dxa"/>
          </w:tcPr>
          <w:p>
            <w:pPr/>
            <w:r>
              <w:t xml:space="preserve">Bereitschaft, sich verwundbar zu machen, unabhängig von Kontroll- und Überwachungsmöglichkeiten (S. 4). Gemessen nach Mayer und Davis (1999, zit. n. Do Khac et al., 2025, S. 8)</w:t>
            </w:r>
          </w:p>
        </w:tc>
        <w:tc>
          <w:tcPr>
            <w:tcW w:w="1337" w:type="dxa"/>
          </w:tcPr>
          <w:p>
            <w:pPr/>
            <w:r>
              <w:t xml:space="preserve">″</w:t>
            </w:r>
          </w:p>
        </w:tc>
        <w:tc>
          <w:tcPr>
            <w:tcW w:w="1337" w:type="dxa"/>
          </w:tcPr>
          <w:p>
            <w:pPr/>
            <w:r>
              <w:t xml:space="preserve">″</w:t>
            </w:r>
          </w:p>
        </w:tc>
        <w:tc>
          <w:tcPr>
            <w:tcW w:w="1337" w:type="dxa"/>
          </w:tcPr>
          <w:p>
            <w:pPr/>
            <w:r>
              <w:t xml:space="preserve">″</w:t>
            </w:r>
          </w:p>
        </w:tc>
        <w:tc>
          <w:tcPr>
            <w:tcW w:w="1337" w:type="dxa"/>
          </w:tcPr>
          <w:p>
            <w:pPr/>
            <w:r>
              <w:t xml:space="preserve">–</w:t>
            </w:r>
          </w:p>
        </w:tc>
      </w:tr>
      <w:tr>
        <w:tc>
          <w:tcPr>
            <w:tcW w:w="1337" w:type="dxa"/>
          </w:tcPr>
          <w:p>
            <w:pPr/>
            <w:r>
              <w:t xml:space="preserve">Intention (Ajzen &amp; Fishbein, 1975, zit. n. Do Khac et al., 2025)</w:t>
            </w:r>
          </w:p>
        </w:tc>
        <w:tc>
          <w:tcPr>
            <w:tcW w:w="1337" w:type="dxa"/>
          </w:tcPr>
          <w:p>
            <w:pPr/>
            <w:r>
              <w:t xml:space="preserve">Intention to use</w:t>
            </w:r>
          </w:p>
        </w:tc>
        <w:tc>
          <w:tcPr>
            <w:tcW w:w="1337" w:type="dxa"/>
          </w:tcPr>
          <w:p>
            <w:pPr/>
            <w:r>
              <w:t xml:space="preserve">Standarditems nach Ajzen und Fishbein; keine weitere Definition (S. 8)</w:t>
            </w:r>
          </w:p>
        </w:tc>
        <w:tc>
          <w:tcPr>
            <w:tcW w:w="1337" w:type="dxa"/>
          </w:tcPr>
          <w:p>
            <w:pPr/>
            <w:r>
              <w:t xml:space="preserve">″</w:t>
            </w:r>
          </w:p>
        </w:tc>
        <w:tc>
          <w:tcPr>
            <w:tcW w:w="1337" w:type="dxa"/>
          </w:tcPr>
          <w:p>
            <w:pPr/>
            <w:r>
              <w:t xml:space="preserve">″</w:t>
            </w:r>
          </w:p>
        </w:tc>
        <w:tc>
          <w:tcPr>
            <w:tcW w:w="1337" w:type="dxa"/>
          </w:tcPr>
          <w:p>
            <w:pPr/>
            <w:r>
              <w:t xml:space="preserve">Kriterium von P4</w:t>
            </w:r>
          </w:p>
        </w:tc>
        <w:tc>
          <w:tcPr>
            <w:tcW w:w="1337" w:type="dxa"/>
          </w:tcPr>
          <w:p>
            <w:pPr/>
            <w:r>
              <w:t xml:space="preserve">–</w:t>
            </w:r>
          </w:p>
        </w:tc>
      </w:tr>
      <w:tr>
        <w:tc>
          <w:tcPr>
            <w:tcW w:w="1337" w:type="dxa"/>
          </w:tcPr>
          <w:p>
            <w:pPr/>
            <w:r>
              <w:t xml:space="preserve">Reasoned Action Approach (Fishbein &amp; Ajzen, 2010, zit. n. Wichmann et al., 2025)</w:t>
            </w:r>
          </w:p>
        </w:tc>
        <w:tc>
          <w:tcPr>
            <w:tcW w:w="1337" w:type="dxa"/>
          </w:tcPr>
          <w:p>
            <w:pPr/>
            <w:r>
              <w:t xml:space="preserve">Attitude</w:t>
            </w:r>
          </w:p>
        </w:tc>
        <w:tc>
          <w:tcPr>
            <w:tcW w:w="1337" w:type="dxa"/>
          </w:tcPr>
          <w:p>
            <w:pPr/>
            <w:r>
              <w:t xml:space="preserve">Haltung der Person gegenüber der Anwendung (S. 963)</w:t>
            </w:r>
          </w:p>
        </w:tc>
        <w:tc>
          <w:tcPr>
            <w:tcW w:w="1337" w:type="dxa"/>
          </w:tcPr>
          <w:p>
            <w:pPr/>
            <w:r>
              <w:t xml:space="preserve">Wichmann et al. (2025), P2</w:t>
            </w:r>
          </w:p>
        </w:tc>
        <w:tc>
          <w:tcPr>
            <w:tcW w:w="1337" w:type="dxa"/>
          </w:tcPr>
          <w:p>
            <w:pPr/>
            <w:r>
              <w:t xml:space="preserve">7-stufig, 1–7 (S. 965)</w:t>
            </w:r>
          </w:p>
        </w:tc>
        <w:tc>
          <w:tcPr>
            <w:tcW w:w="1337" w:type="dxa"/>
          </w:tcPr>
          <w:p>
            <w:pPr/>
            <w:r>
              <w:t xml:space="preserve">Erfasst die Absicht vor der Nutzung anhand eines hypothetischen Szenarios (S. 965). Passt zur Phase „vor Einführung“.</w:t>
            </w:r>
          </w:p>
        </w:tc>
        <w:tc>
          <w:tcPr>
            <w:tcW w:w="1337" w:type="dxa"/>
          </w:tcPr>
          <w:p>
            <w:pPr/>
            <w:r>
              <w:t xml:space="preserve">UTAUT2 (Venkatesh et al., 2012, zit. n. Wichmann et al., 2025): Die Items zu Perceived Usefulness sind energiespezifisch (Energie sparen, Stromrechnung, D1-Q2). Eine Übertragung wäre ein Inhaltsaustausch (I).</w:t>
            </w:r>
          </w:p>
        </w:tc>
      </w:tr>
      <w:tr>
        <w:tc>
          <w:tcPr>
            <w:tcW w:w="1337" w:type="dxa"/>
          </w:tcPr>
          <w:p>
            <w:pPr/>
            <w:r>
              <w:t xml:space="preserve">″</w:t>
            </w:r>
          </w:p>
        </w:tc>
        <w:tc>
          <w:tcPr>
            <w:tcW w:w="1337" w:type="dxa"/>
          </w:tcPr>
          <w:p>
            <w:pPr/>
            <w:r>
              <w:t xml:space="preserve">Perceived norms</w:t>
            </w:r>
          </w:p>
        </w:tc>
        <w:tc>
          <w:tcPr>
            <w:tcW w:w="1337" w:type="dxa"/>
          </w:tcPr>
          <w:p>
            <w:pPr/>
            <w:r>
              <w:t xml:space="preserve">Meinung anderer zur Anwendung (S. 963)</w:t>
            </w:r>
          </w:p>
        </w:tc>
        <w:tc>
          <w:tcPr>
            <w:tcW w:w="1337" w:type="dxa"/>
          </w:tcPr>
          <w:p>
            <w:pPr/>
            <w:r>
              <w:t xml:space="preserve">″</w:t>
            </w:r>
          </w:p>
        </w:tc>
        <w:tc>
          <w:tcPr>
            <w:tcW w:w="1337" w:type="dxa"/>
          </w:tcPr>
          <w:p>
            <w:pPr/>
            <w:r>
              <w:t xml:space="preserve">″</w:t>
            </w:r>
          </w:p>
        </w:tc>
        <w:tc>
          <w:tcPr>
            <w:tcW w:w="1337" w:type="dxa"/>
          </w:tcPr>
          <w:p>
            <w:pPr/>
            <w:r>
              <w:t xml:space="preserve">″</w:t>
            </w:r>
          </w:p>
        </w:tc>
        <w:tc>
          <w:tcPr>
            <w:tcW w:w="1337" w:type="dxa"/>
          </w:tcPr>
          <w:p>
            <w:pPr/>
            <w:r>
              <w:t xml:space="preserve">″</w:t>
            </w:r>
          </w:p>
        </w:tc>
      </w:tr>
      <w:tr>
        <w:tc>
          <w:tcPr>
            <w:tcW w:w="1337" w:type="dxa"/>
          </w:tcPr>
          <w:p>
            <w:pPr/>
            <w:r>
              <w:t xml:space="preserve">″</w:t>
            </w:r>
          </w:p>
        </w:tc>
        <w:tc>
          <w:tcPr>
            <w:tcW w:w="1337" w:type="dxa"/>
          </w:tcPr>
          <w:p>
            <w:pPr/>
            <w:r>
              <w:t xml:space="preserve">Perceived behavioral control</w:t>
            </w:r>
          </w:p>
        </w:tc>
        <w:tc>
          <w:tcPr>
            <w:tcW w:w="1337" w:type="dxa"/>
          </w:tcPr>
          <w:p>
            <w:pPr/>
            <w:r>
              <w:t xml:space="preserve">Wahrgenommener Entscheidungsspielraum bei der Nutzung (S. 963)</w:t>
            </w:r>
          </w:p>
        </w:tc>
        <w:tc>
          <w:tcPr>
            <w:tcW w:w="1337" w:type="dxa"/>
          </w:tcPr>
          <w:p>
            <w:pPr/>
            <w:r>
              <w:t xml:space="preserve">″</w:t>
            </w:r>
          </w:p>
        </w:tc>
        <w:tc>
          <w:tcPr>
            <w:tcW w:w="1337" w:type="dxa"/>
          </w:tcPr>
          <w:p>
            <w:pPr/>
            <w:r>
              <w:t xml:space="preserve">″</w:t>
            </w:r>
          </w:p>
        </w:tc>
        <w:tc>
          <w:tcPr>
            <w:tcW w:w="1337" w:type="dxa"/>
          </w:tcPr>
          <w:p>
            <w:pPr/>
            <w:r>
              <w:t xml:space="preserve">″</w:t>
            </w:r>
          </w:p>
        </w:tc>
        <w:tc>
          <w:tcPr>
            <w:tcW w:w="1337" w:type="dxa"/>
          </w:tcPr>
          <w:p>
            <w:pPr/>
            <w:r>
              <w:t xml:space="preserve">″</w:t>
            </w:r>
          </w:p>
        </w:tc>
      </w:tr>
      <w:tr>
        <w:tc>
          <w:tcPr>
            <w:tcW w:w="1337" w:type="dxa"/>
          </w:tcPr>
          <w:p>
            <w:pPr/>
            <w:r>
              <w:t xml:space="preserve">″</w:t>
            </w:r>
          </w:p>
        </w:tc>
        <w:tc>
          <w:tcPr>
            <w:tcW w:w="1337" w:type="dxa"/>
          </w:tcPr>
          <w:p>
            <w:pPr/>
            <w:r>
              <w:t xml:space="preserve">Intention to use</w:t>
            </w:r>
          </w:p>
        </w:tc>
        <w:tc>
          <w:tcPr>
            <w:tcW w:w="1337" w:type="dxa"/>
          </w:tcPr>
          <w:p>
            <w:pPr/>
            <w:r>
              <w:t xml:space="preserve">Tendenz einer Person, die Anwendung zu nutzen (S. 963)</w:t>
            </w:r>
          </w:p>
        </w:tc>
        <w:tc>
          <w:tcPr>
            <w:tcW w:w="1337" w:type="dxa"/>
          </w:tcPr>
          <w:p>
            <w:pPr/>
            <w:r>
              <w:t xml:space="preserve">″</w:t>
            </w:r>
          </w:p>
        </w:tc>
        <w:tc>
          <w:tcPr>
            <w:tcW w:w="1337" w:type="dxa"/>
          </w:tcPr>
          <w:p>
            <w:pPr/>
            <w:r>
              <w:t xml:space="preserve">″</w:t>
            </w:r>
          </w:p>
        </w:tc>
        <w:tc>
          <w:tcPr>
            <w:tcW w:w="1337" w:type="dxa"/>
          </w:tcPr>
          <w:p>
            <w:pPr/>
            <w:r>
              <w:t xml:space="preserve">Kriterium von P2</w:t>
            </w:r>
          </w:p>
        </w:tc>
        <w:tc>
          <w:tcPr>
            <w:tcW w:w="1337" w:type="dxa"/>
          </w:tcPr>
          <w:p>
            <w:pPr/>
            <w:r>
              <w:t xml:space="preserve">″</w:t>
            </w:r>
          </w:p>
        </w:tc>
      </w:tr>
      <w:tr>
        <w:tc>
          <w:tcPr>
            <w:tcW w:w="1337" w:type="dxa"/>
          </w:tcPr>
          <w:p>
            <w:pPr/>
            <w:r>
              <w:t xml:space="preserve">ATAI-Skala (Sindermann et al., 2021)</w:t>
            </w:r>
          </w:p>
        </w:tc>
        <w:tc>
          <w:tcPr>
            <w:tcW w:w="1337" w:type="dxa"/>
          </w:tcPr>
          <w:p>
            <w:pPr/>
            <w:r>
              <w:t xml:space="preserve">Acceptance</w:t>
            </w:r>
          </w:p>
        </w:tc>
        <w:tc>
          <w:tcPr>
            <w:tcW w:w="1337" w:type="dxa"/>
          </w:tcPr>
          <w:p>
            <w:pPr/>
            <w:r>
              <w:t xml:space="preserve">Faktor „Akzeptanz von KI“ (Items 02, 04). Eine weitergehende Definition ist nicht in den Quellen enthalten (S. 109, 113).</w:t>
            </w:r>
          </w:p>
        </w:tc>
        <w:tc>
          <w:tcPr>
            <w:tcW w:w="1337" w:type="dxa"/>
          </w:tcPr>
          <w:p>
            <w:pPr/>
            <w:r>
              <w:t xml:space="preserve">Sindermann et al. (2021), S2</w:t>
            </w:r>
          </w:p>
        </w:tc>
        <w:tc>
          <w:tcPr>
            <w:tcW w:w="1337" w:type="dxa"/>
          </w:tcPr>
          <w:p>
            <w:pPr/>
            <w:r>
              <w:t xml:space="preserve">11-stufig, 0–10 (S. 111–112)</w:t>
            </w:r>
          </w:p>
        </w:tc>
        <w:tc>
          <w:tcPr>
            <w:tcW w:w="1337" w:type="dxa"/>
          </w:tcPr>
          <w:p>
            <w:pPr/>
            <w:r>
              <w:t xml:space="preserve">Deutsche Originalfassung. Für KI allgemein validiert, auch mit Laien (S. 117). Erfasst Grundhaltung und Angst in einer Zielgruppe ohne KI-Ausbildung.</w:t>
            </w:r>
          </w:p>
        </w:tc>
        <w:tc>
          <w:tcPr>
            <w:tcW w:w="1337" w:type="dxa"/>
          </w:tcPr>
          <w:p>
            <w:pPr/>
            <w:r>
              <w:t xml:space="preserve">MAILS (Carolus et al., 2023): misst KI-Kompetenz (S1b, Abstract), hat kein Absichtskriterium, und Items setzen Nutzung voraus (S1a, Items 32, 34).</w:t>
            </w:r>
          </w:p>
        </w:tc>
      </w:tr>
      <w:tr>
        <w:tc>
          <w:tcPr>
            <w:tcW w:w="1337" w:type="dxa"/>
          </w:tcPr>
          <w:p>
            <w:pPr/>
            <w:r>
              <w:t xml:space="preserve">″</w:t>
            </w:r>
          </w:p>
        </w:tc>
        <w:tc>
          <w:tcPr>
            <w:tcW w:w="1337" w:type="dxa"/>
          </w:tcPr>
          <w:p>
            <w:pPr/>
            <w:r>
              <w:t xml:space="preserve">Fear</w:t>
            </w:r>
          </w:p>
        </w:tc>
        <w:tc>
          <w:tcPr>
            <w:tcW w:w="1337" w:type="dxa"/>
          </w:tcPr>
          <w:p>
            <w:pPr/>
            <w:r>
              <w:t xml:space="preserve">Faktor „Angst vor KI“ (Items 01, 03, 05), negativ mit Acceptance verbunden (S. 113)</w:t>
            </w:r>
          </w:p>
        </w:tc>
        <w:tc>
          <w:tcPr>
            <w:tcW w:w="1337" w:type="dxa"/>
          </w:tcPr>
          <w:p>
            <w:pPr/>
            <w:r>
              <w:t xml:space="preserve">″</w:t>
            </w:r>
          </w:p>
        </w:tc>
        <w:tc>
          <w:tcPr>
            <w:tcW w:w="1337" w:type="dxa"/>
          </w:tcPr>
          <w:p>
            <w:pPr/>
            <w:r>
              <w:t xml:space="preserve">″</w:t>
            </w:r>
          </w:p>
        </w:tc>
        <w:tc>
          <w:tcPr>
            <w:tcW w:w="1337" w:type="dxa"/>
          </w:tcPr>
          <w:p>
            <w:pPr/>
            <w:r>
              <w:t xml:space="preserve">″</w:t>
            </w:r>
          </w:p>
        </w:tc>
        <w:tc>
          <w:tcPr>
            <w:tcW w:w="1337" w:type="dxa"/>
          </w:tcPr>
          <w:p>
            <w:pPr/>
            <w:r>
              <w:t xml:space="preserve">TTF (zit. n. Paetow, 2026, P3): Die Technologiemerkmale sind VR-spezifisch (Immersion, Social Presence; D1-Q3) und bräuchten eine nicht validierte Adaption. HBM/PMT/EPPM (zit. n. Wichmann et al., 2024, P1): Gesundheitskontext. Ansatz aus P5: virtuelle Meetings und Work Engagement (D1-Q5), kein Akzeptanzmodell.</w:t>
            </w:r>
          </w:p>
        </w:tc>
      </w:tr>
    </w:tbl>
    <w:p>
      <w:pPr>
        <w:pStyle w:val="Heading2"/>
      </w:pPr>
      <w:r>
        <w:t xml:space="preserve">Tabelle B – Fragebogen</w:t>
      </w:r>
    </w:p>
    <w:p>
      <w:pPr/>
      <w:r>
        <w:t xml:space="preserve">Skala: 1 = stimme überhaupt nicht zu … 5 = stimme voll zu, dazu „kann ich nicht beurteilen“ (wird als fehlender Wert codiert).</w:t>
      </w:r>
    </w:p>
    <w:p>
      <w:pPr/>
      <w:r>
        <w:t xml:space="preserve">Vor dem Block P2 steht eine Beschreibung von Copilot. P2 legt den Items ein Szenario vor (S. 965), und die Einstellungsitems beziehen sich ausdrücklich darauf. Der Szenariotext von P2 ist nicht in den Quellen enthalten (Anhang auf OSF). Der Copilot-Text ist daher neu und neutral zu formulieren [eigene Bewertung].</w:t>
      </w:r>
    </w:p>
    <w:p>
      <w:pPr>
        <w:pStyle w:val="Heading3"/>
      </w:pPr>
      <w:r>
        <w:t xml:space="preserve">B1 – Vertrauensmodell (P4, deutsche Originalfassung aus D1-Q4)</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Item-ID</w:t>
            </w:r>
          </w:p>
        </w:tc>
        <w:tc>
          <w:tcPr>
            <w:tcW w:w="1560" w:type="dxa"/>
            <w:shd w:val="clear" w:color="auto" w:fill="F2F2F2"/>
          </w:tcPr>
          <w:p>
            <w:pPr/>
            <w:r>
              <w:t xml:space="preserve">Konstrukt</w:t>
            </w:r>
          </w:p>
        </w:tc>
        <w:tc>
          <w:tcPr>
            <w:tcW w:w="1560" w:type="dxa"/>
            <w:shd w:val="clear" w:color="auto" w:fill="F2F2F2"/>
          </w:tcPr>
          <w:p>
            <w:pPr/>
            <w:r>
              <w:t xml:space="preserve">Originalitem</w:t>
            </w:r>
          </w:p>
        </w:tc>
        <w:tc>
          <w:tcPr>
            <w:tcW w:w="1560" w:type="dxa"/>
            <w:shd w:val="clear" w:color="auto" w:fill="F2F2F2"/>
          </w:tcPr>
          <w:p>
            <w:pPr/>
            <w:r>
              <w:t xml:space="preserve">finales Item</w:t>
            </w:r>
          </w:p>
        </w:tc>
        <w:tc>
          <w:tcPr>
            <w:tcW w:w="1560" w:type="dxa"/>
            <w:shd w:val="clear" w:color="auto" w:fill="F2F2F2"/>
          </w:tcPr>
          <w:p>
            <w:pPr/>
            <w:r>
              <w:t xml:space="preserve">Adaption (Code + Begründung)</w:t>
            </w:r>
          </w:p>
        </w:tc>
        <w:tc>
          <w:tcPr>
            <w:tcW w:w="1560" w:type="dxa"/>
            <w:shd w:val="clear" w:color="auto" w:fill="F2F2F2"/>
          </w:tcPr>
          <w:p>
            <w:pPr/>
            <w:r>
              <w:t xml:space="preserve">(R)</w:t>
            </w:r>
          </w:p>
        </w:tc>
      </w:tr>
      <w:tr>
        <w:tc>
          <w:tcPr>
            <w:tcW w:w="1560" w:type="dxa"/>
          </w:tcPr>
          <w:p>
            <w:pPr/>
            <w:r>
              <w:t xml:space="preserve">D1-Q4-X1</w:t>
            </w:r>
          </w:p>
        </w:tc>
        <w:tc>
          <w:tcPr>
            <w:tcW w:w="1560" w:type="dxa"/>
          </w:tcPr>
          <w:p>
            <w:pPr/>
            <w:r>
              <w:t xml:space="preserve">Ability</w:t>
            </w:r>
          </w:p>
        </w:tc>
        <w:tc>
          <w:tcPr>
            <w:tcW w:w="1560" w:type="dxa"/>
          </w:tcPr>
          <w:p>
            <w:pPr/>
            <w:r>
              <w:t xml:space="preserve">Ich weiß, wie ChatGPT funktioniert.</w:t>
            </w:r>
          </w:p>
        </w:tc>
        <w:tc>
          <w:tcPr>
            <w:tcW w:w="1560" w:type="dxa"/>
          </w:tcPr>
          <w:p>
            <w:pPr/>
            <w:r>
              <w:t xml:space="preserve">Ich weiß, wie Copilot funktioniert.</w:t>
            </w:r>
          </w:p>
        </w:tc>
        <w:tc>
          <w:tcPr>
            <w:tcW w:w="1560" w:type="dxa"/>
          </w:tcPr>
          <w:p>
            <w:pPr/>
            <w:r>
              <w:t xml:space="preserve">K: Technologie des Falls. Setzt keine Nutzung voraus.</w:t>
            </w:r>
          </w:p>
        </w:tc>
        <w:tc>
          <w:tcPr>
            <w:tcW w:w="1560" w:type="dxa"/>
          </w:tcPr>
          <w:p>
            <w:pPr/>
            <w:r>
              <w:t xml:space="preserve">–</w:t>
            </w:r>
          </w:p>
        </w:tc>
      </w:tr>
      <w:tr>
        <w:tc>
          <w:tcPr>
            <w:tcW w:w="1560" w:type="dxa"/>
          </w:tcPr>
          <w:p>
            <w:pPr/>
            <w:r>
              <w:t xml:space="preserve">D1-Q4-X2</w:t>
            </w:r>
          </w:p>
        </w:tc>
        <w:tc>
          <w:tcPr>
            <w:tcW w:w="1560" w:type="dxa"/>
          </w:tcPr>
          <w:p>
            <w:pPr/>
            <w:r>
              <w:t xml:space="preserve">Ability</w:t>
            </w:r>
          </w:p>
        </w:tc>
        <w:tc>
          <w:tcPr>
            <w:tcW w:w="1560" w:type="dxa"/>
          </w:tcPr>
          <w:p>
            <w:pPr/>
            <w:r>
              <w:t xml:space="preserve">Ich kann nachvollziehen, wie ChatGPT zu den Ergebnissen kommt.</w:t>
            </w:r>
          </w:p>
        </w:tc>
        <w:tc>
          <w:tcPr>
            <w:tcW w:w="1560" w:type="dxa"/>
          </w:tcPr>
          <w:p>
            <w:pPr/>
            <w:r>
              <w:t xml:space="preserve">Ich könnte nachvollziehen, wie Copilot zu seinen Ergebnissen kommt.</w:t>
            </w:r>
          </w:p>
        </w:tc>
        <w:tc>
          <w:tcPr>
            <w:tcW w:w="1560" w:type="dxa"/>
          </w:tcPr>
          <w:p>
            <w:pPr/>
            <w:r>
              <w:t xml:space="preserve">K: Technologie. Konjunktiv, weil der Indikativ Nutzung voraussetzt. „den“ → „seinen“ aus grammatischen Gründen.</w:t>
            </w:r>
          </w:p>
        </w:tc>
        <w:tc>
          <w:tcPr>
            <w:tcW w:w="1560" w:type="dxa"/>
          </w:tcPr>
          <w:p>
            <w:pPr/>
            <w:r>
              <w:t xml:space="preserve">–</w:t>
            </w:r>
          </w:p>
        </w:tc>
      </w:tr>
      <w:tr>
        <w:tc>
          <w:tcPr>
            <w:tcW w:w="1560" w:type="dxa"/>
          </w:tcPr>
          <w:p>
            <w:pPr/>
            <w:r>
              <w:t xml:space="preserve">D1-Q4-X3</w:t>
            </w:r>
          </w:p>
        </w:tc>
        <w:tc>
          <w:tcPr>
            <w:tcW w:w="1560" w:type="dxa"/>
          </w:tcPr>
          <w:p>
            <w:pPr/>
            <w:r>
              <w:t xml:space="preserve">Ability</w:t>
            </w:r>
          </w:p>
        </w:tc>
        <w:tc>
          <w:tcPr>
            <w:tcW w:w="1560" w:type="dxa"/>
          </w:tcPr>
          <w:p>
            <w:pPr/>
            <w:r>
              <w:t xml:space="preserve">Ich kann nachvollziehen, ob die Ergebnisse von ChatGPT richtig sind.</w:t>
            </w:r>
          </w:p>
        </w:tc>
        <w:tc>
          <w:tcPr>
            <w:tcW w:w="1560" w:type="dxa"/>
          </w:tcPr>
          <w:p>
            <w:pPr/>
            <w:r>
              <w:t xml:space="preserve">Ich könnte nachvollziehen, ob die Ergebnisse von Copilot richtig sind.</w:t>
            </w:r>
          </w:p>
        </w:tc>
        <w:tc>
          <w:tcPr>
            <w:tcW w:w="1560" w:type="dxa"/>
          </w:tcPr>
          <w:p>
            <w:pPr/>
            <w:r>
              <w:t xml:space="preserve">K: wie X2</w:t>
            </w:r>
          </w:p>
        </w:tc>
        <w:tc>
          <w:tcPr>
            <w:tcW w:w="1560" w:type="dxa"/>
          </w:tcPr>
          <w:p>
            <w:pPr/>
            <w:r>
              <w:t xml:space="preserve">–</w:t>
            </w:r>
          </w:p>
        </w:tc>
      </w:tr>
      <w:tr>
        <w:tc>
          <w:tcPr>
            <w:tcW w:w="1560" w:type="dxa"/>
          </w:tcPr>
          <w:p>
            <w:pPr/>
            <w:r>
              <w:t xml:space="preserve">D1-Q4-U1</w:t>
            </w:r>
          </w:p>
        </w:tc>
        <w:tc>
          <w:tcPr>
            <w:tcW w:w="1560" w:type="dxa"/>
          </w:tcPr>
          <w:p>
            <w:pPr/>
            <w:r>
              <w:t xml:space="preserve">Benevolence</w:t>
            </w:r>
          </w:p>
        </w:tc>
        <w:tc>
          <w:tcPr>
            <w:tcW w:w="1560" w:type="dxa"/>
          </w:tcPr>
          <w:p>
            <w:pPr/>
            <w:r>
              <w:t xml:space="preserve">Die ChatGPT Anwendungen empfinde ich als unheimlich.</w:t>
            </w:r>
          </w:p>
        </w:tc>
        <w:tc>
          <w:tcPr>
            <w:tcW w:w="1560" w:type="dxa"/>
          </w:tcPr>
          <w:p>
            <w:pPr/>
            <w:r>
              <w:t xml:space="preserve">Ich würde Copilot als unheimlich empfinden.</w:t>
            </w:r>
          </w:p>
        </w:tc>
        <w:tc>
          <w:tcPr>
            <w:tcW w:w="1560" w:type="dxa"/>
          </w:tcPr>
          <w:p>
            <w:pPr/>
            <w:r>
              <w:t xml:space="preserve">K: Technologie. Konjunktiv, weil die Emotion sonst eine Nutzung voraussetzt. Plural „Anwendungen“ gestrichen, da nur eine Anwendung bewertet wird.</w:t>
            </w:r>
          </w:p>
        </w:tc>
        <w:tc>
          <w:tcPr>
            <w:tcW w:w="1560" w:type="dxa"/>
          </w:tcPr>
          <w:p>
            <w:pPr/>
            <w:r>
              <w:t xml:space="preserve">R [eigene Bewertung: Unheimlichkeit widerspricht der Richtung von Benevolence. Die Quelle dokumentiert keine Umpolung.]</w:t>
            </w:r>
          </w:p>
        </w:tc>
      </w:tr>
      <w:tr>
        <w:tc>
          <w:tcPr>
            <w:tcW w:w="1560" w:type="dxa"/>
          </w:tcPr>
          <w:p>
            <w:pPr/>
            <w:r>
              <w:t xml:space="preserve">D1-Q4-U2</w:t>
            </w:r>
          </w:p>
        </w:tc>
        <w:tc>
          <w:tcPr>
            <w:tcW w:w="1560" w:type="dxa"/>
          </w:tcPr>
          <w:p>
            <w:pPr/>
            <w:r>
              <w:t xml:space="preserve">Benevolence</w:t>
            </w:r>
          </w:p>
        </w:tc>
        <w:tc>
          <w:tcPr>
            <w:tcW w:w="1560" w:type="dxa"/>
          </w:tcPr>
          <w:p>
            <w:pPr/>
            <w:r>
              <w:t xml:space="preserve">Ich empfinde die ChatGPT Anwendung als unmenschlich.</w:t>
            </w:r>
          </w:p>
        </w:tc>
        <w:tc>
          <w:tcPr>
            <w:tcW w:w="1560" w:type="dxa"/>
          </w:tcPr>
          <w:p>
            <w:pPr/>
            <w:r>
              <w:t xml:space="preserve">Ich würde Copilot als unmenschlich empfinden.</w:t>
            </w:r>
          </w:p>
        </w:tc>
        <w:tc>
          <w:tcPr>
            <w:tcW w:w="1560" w:type="dxa"/>
          </w:tcPr>
          <w:p>
            <w:pPr/>
            <w:r>
              <w:t xml:space="preserve">K: wie U1. Die englische Fassung lautet „not human“, das deutsche „unmenschlich“ kann moralisch verstanden werden. Maßgeblich ist das deutsche Original; im Pretest prüfen [eigene Bewertung].</w:t>
            </w:r>
          </w:p>
        </w:tc>
        <w:tc>
          <w:tcPr>
            <w:tcW w:w="1560" w:type="dxa"/>
          </w:tcPr>
          <w:p>
            <w:pPr/>
            <w:r>
              <w:t xml:space="preserve">R [eigene Bewertung]</w:t>
            </w:r>
          </w:p>
        </w:tc>
      </w:tr>
      <w:tr>
        <w:tc>
          <w:tcPr>
            <w:tcW w:w="1560" w:type="dxa"/>
          </w:tcPr>
          <w:p>
            <w:pPr/>
            <w:r>
              <w:t xml:space="preserve">D1-Q4-U3</w:t>
            </w:r>
          </w:p>
        </w:tc>
        <w:tc>
          <w:tcPr>
            <w:tcW w:w="1560" w:type="dxa"/>
          </w:tcPr>
          <w:p>
            <w:pPr/>
            <w:r>
              <w:t xml:space="preserve">Benevolence</w:t>
            </w:r>
          </w:p>
        </w:tc>
        <w:tc>
          <w:tcPr>
            <w:tcW w:w="1560" w:type="dxa"/>
          </w:tcPr>
          <w:p>
            <w:pPr/>
            <w:r>
              <w:t xml:space="preserve">Ich empfinde ChatGPT als unangenehm.</w:t>
            </w:r>
          </w:p>
        </w:tc>
        <w:tc>
          <w:tcPr>
            <w:tcW w:w="1560" w:type="dxa"/>
          </w:tcPr>
          <w:p>
            <w:pPr/>
            <w:r>
              <w:t xml:space="preserve">Ich würde Copilot als unangenehm empfinden.</w:t>
            </w:r>
          </w:p>
        </w:tc>
        <w:tc>
          <w:tcPr>
            <w:tcW w:w="1560" w:type="dxa"/>
          </w:tcPr>
          <w:p>
            <w:pPr/>
            <w:r>
              <w:t xml:space="preserve">K: wie U1</w:t>
            </w:r>
          </w:p>
        </w:tc>
        <w:tc>
          <w:tcPr>
            <w:tcW w:w="1560" w:type="dxa"/>
          </w:tcPr>
          <w:p>
            <w:pPr/>
            <w:r>
              <w:t xml:space="preserve">R [eigene Bewertung]</w:t>
            </w:r>
          </w:p>
        </w:tc>
      </w:tr>
      <w:tr>
        <w:tc>
          <w:tcPr>
            <w:tcW w:w="1560" w:type="dxa"/>
          </w:tcPr>
          <w:p>
            <w:pPr/>
            <w:r>
              <w:t xml:space="preserve">D1-Q4-D1</w:t>
            </w:r>
          </w:p>
        </w:tc>
        <w:tc>
          <w:tcPr>
            <w:tcW w:w="1560" w:type="dxa"/>
          </w:tcPr>
          <w:p>
            <w:pPr/>
            <w:r>
              <w:t xml:space="preserve">Integrity</w:t>
            </w:r>
          </w:p>
        </w:tc>
        <w:tc>
          <w:tcPr>
            <w:tcW w:w="1560" w:type="dxa"/>
          </w:tcPr>
          <w:p>
            <w:pPr/>
            <w:r>
              <w:t xml:space="preserve">Ich habe keine Bedenken, dass ChatGPT unsere eingegebenen unternehmensinternen Informationen an Dritte weitergibt.</w:t>
            </w:r>
          </w:p>
        </w:tc>
        <w:tc>
          <w:tcPr>
            <w:tcW w:w="1560" w:type="dxa"/>
          </w:tcPr>
          <w:p>
            <w:pPr/>
            <w:r>
              <w:t xml:space="preserve">Ich bin sicher, dass Copilot die von uns eingegebenen unternehmensinternen Informationen nicht an Dritte weitergeben würde.</w:t>
            </w:r>
          </w:p>
        </w:tc>
        <w:tc>
          <w:tcPr>
            <w:tcW w:w="1560" w:type="dxa"/>
          </w:tcPr>
          <w:p>
            <w:pPr/>
            <w:r>
              <w:t xml:space="preserve">K + I: Die mehrdeutige Negation („keine Bedenken, dass … weitergibt“) ist aufgelöst. Die englische Fassung („no doubts that … will pass“) widerspricht der deutschen. Der Kerninhalt bleibt erhalten: keine Weitergabe von Informationen (Definition S. 8). Der neue Wortlaut ist nicht validiert.</w:t>
            </w:r>
          </w:p>
        </w:tc>
        <w:tc>
          <w:tcPr>
            <w:tcW w:w="1560" w:type="dxa"/>
          </w:tcPr>
          <w:p>
            <w:pPr/>
            <w:r>
              <w:t xml:space="preserve">–</w:t>
            </w:r>
          </w:p>
        </w:tc>
      </w:tr>
      <w:tr>
        <w:tc>
          <w:tcPr>
            <w:tcW w:w="1560" w:type="dxa"/>
          </w:tcPr>
          <w:p>
            <w:pPr/>
            <w:r>
              <w:t xml:space="preserve">D1-Q4-D2</w:t>
            </w:r>
          </w:p>
        </w:tc>
        <w:tc>
          <w:tcPr>
            <w:tcW w:w="1560" w:type="dxa"/>
          </w:tcPr>
          <w:p>
            <w:pPr/>
            <w:r>
              <w:t xml:space="preserve">Integrity</w:t>
            </w:r>
          </w:p>
        </w:tc>
        <w:tc>
          <w:tcPr>
            <w:tcW w:w="1560" w:type="dxa"/>
          </w:tcPr>
          <w:p>
            <w:pPr/>
            <w:r>
              <w:t xml:space="preserve">Ich denke, dass die Interaktionsdaten unserer Nutzung von ChatGPT sicher sind.</w:t>
            </w:r>
          </w:p>
        </w:tc>
        <w:tc>
          <w:tcPr>
            <w:tcW w:w="1560" w:type="dxa"/>
          </w:tcPr>
          <w:p>
            <w:pPr/>
            <w:r>
              <w:t xml:space="preserve">Ich denke, dass die Interaktionsdaten unserer Nutzung von Copilot sicher wären.</w:t>
            </w:r>
          </w:p>
        </w:tc>
        <w:tc>
          <w:tcPr>
            <w:tcW w:w="1560" w:type="dxa"/>
          </w:tcPr>
          <w:p>
            <w:pPr/>
            <w:r>
              <w:t xml:space="preserve">K: Technologie. Konjunktiv, weil noch keine Nutzung stattfindet.</w:t>
            </w:r>
          </w:p>
        </w:tc>
        <w:tc>
          <w:tcPr>
            <w:tcW w:w="1560" w:type="dxa"/>
          </w:tcPr>
          <w:p>
            <w:pPr/>
            <w:r>
              <w:t xml:space="preserve">–</w:t>
            </w:r>
          </w:p>
        </w:tc>
      </w:tr>
      <w:tr>
        <w:tc>
          <w:tcPr>
            <w:tcW w:w="1560" w:type="dxa"/>
          </w:tcPr>
          <w:p>
            <w:pPr/>
            <w:r>
              <w:t xml:space="preserve">D1-Q4-D3</w:t>
            </w:r>
          </w:p>
        </w:tc>
        <w:tc>
          <w:tcPr>
            <w:tcW w:w="1560" w:type="dxa"/>
          </w:tcPr>
          <w:p>
            <w:pPr/>
            <w:r>
              <w:t xml:space="preserve">Integrity</w:t>
            </w:r>
          </w:p>
        </w:tc>
        <w:tc>
          <w:tcPr>
            <w:tcW w:w="1560" w:type="dxa"/>
          </w:tcPr>
          <w:p>
            <w:pPr/>
            <w:r>
              <w:t xml:space="preserve">Ich denke, dass ChatGPT zu viele Informationen über unser Unternehmen hat, wenn wir es nutzen.</w:t>
            </w:r>
          </w:p>
        </w:tc>
        <w:tc>
          <w:tcPr>
            <w:tcW w:w="1560" w:type="dxa"/>
          </w:tcPr>
          <w:p>
            <w:pPr/>
            <w:r>
              <w:t xml:space="preserve">Ich denke, dass Copilot zu viele Informationen über unser Unternehmen hätte, wenn wir es nutzen würden.</w:t>
            </w:r>
          </w:p>
        </w:tc>
        <w:tc>
          <w:tcPr>
            <w:tcW w:w="1560" w:type="dxa"/>
          </w:tcPr>
          <w:p>
            <w:pPr/>
            <w:r>
              <w:t xml:space="preserve">K: Technologie. Konjunktiv.</w:t>
            </w:r>
          </w:p>
        </w:tc>
        <w:tc>
          <w:tcPr>
            <w:tcW w:w="1560" w:type="dxa"/>
          </w:tcPr>
          <w:p>
            <w:pPr/>
            <w:r>
              <w:t xml:space="preserve">R [eigene Bewertung: Der Inhalt widerspricht der Richtung von Integrity.]</w:t>
            </w:r>
          </w:p>
        </w:tc>
      </w:tr>
      <w:tr>
        <w:tc>
          <w:tcPr>
            <w:tcW w:w="1560" w:type="dxa"/>
          </w:tcPr>
          <w:p>
            <w:pPr/>
            <w:r>
              <w:t xml:space="preserve">D1-Q4-T1</w:t>
            </w:r>
          </w:p>
        </w:tc>
        <w:tc>
          <w:tcPr>
            <w:tcW w:w="1560" w:type="dxa"/>
          </w:tcPr>
          <w:p>
            <w:pPr/>
            <w:r>
              <w:t xml:space="preserve">Trust</w:t>
            </w:r>
          </w:p>
        </w:tc>
        <w:tc>
          <w:tcPr>
            <w:tcW w:w="1560" w:type="dxa"/>
          </w:tcPr>
          <w:p>
            <w:pPr/>
            <w:r>
              <w:t xml:space="preserve">Wir sind gewillt, komplette Unternehmensprozesse zur autonomen Verarbeitung an ChatGPT zu geben.</w:t>
            </w:r>
          </w:p>
        </w:tc>
        <w:tc>
          <w:tcPr>
            <w:tcW w:w="1560" w:type="dxa"/>
          </w:tcPr>
          <w:p>
            <w:pPr/>
            <w:r>
              <w:t xml:space="preserve">Ich wäre gewillt, komplette Unternehmensprozesse zur autonomen Verarbeitung an Copilot zu geben.</w:t>
            </w:r>
          </w:p>
        </w:tc>
        <w:tc>
          <w:tcPr>
            <w:tcW w:w="1560" w:type="dxa"/>
          </w:tcPr>
          <w:p>
            <w:pPr/>
            <w:r>
              <w:t xml:space="preserve">K: Perspektivwechsel von „wir“ (Entscheider) zu „ich“ (Beschäftigte), Konjunktiv. Der Kern „autonom/ohne Kontrolle“ bleibt erhalten (S. 4). Auf Individualebene nicht validiert.</w:t>
            </w:r>
          </w:p>
        </w:tc>
        <w:tc>
          <w:tcPr>
            <w:tcW w:w="1560" w:type="dxa"/>
          </w:tcPr>
          <w:p>
            <w:pPr/>
            <w:r>
              <w:t xml:space="preserve">–</w:t>
            </w:r>
          </w:p>
        </w:tc>
      </w:tr>
      <w:tr>
        <w:tc>
          <w:tcPr>
            <w:tcW w:w="1560" w:type="dxa"/>
          </w:tcPr>
          <w:p>
            <w:pPr/>
            <w:r>
              <w:t xml:space="preserve">D1-Q4-T2</w:t>
            </w:r>
          </w:p>
        </w:tc>
        <w:tc>
          <w:tcPr>
            <w:tcW w:w="1560" w:type="dxa"/>
          </w:tcPr>
          <w:p>
            <w:pPr/>
            <w:r>
              <w:t xml:space="preserve">Trust</w:t>
            </w:r>
          </w:p>
        </w:tc>
        <w:tc>
          <w:tcPr>
            <w:tcW w:w="1560" w:type="dxa"/>
          </w:tcPr>
          <w:p>
            <w:pPr/>
            <w:r>
              <w:t xml:space="preserve">ChatGPT bedarf menschlicher Kontrolle, daher sollte es nicht ohne diese Kontrolle in unseren Unternehmensprozessen eingesetzt werden.</w:t>
            </w:r>
          </w:p>
        </w:tc>
        <w:tc>
          <w:tcPr>
            <w:tcW w:w="1560" w:type="dxa"/>
          </w:tcPr>
          <w:p>
            <w:pPr/>
            <w:r>
              <w:t xml:space="preserve">Copilot sollte nur mit menschlicher Kontrolle in unseren Unternehmensprozessen eingesetzt werden.</w:t>
            </w:r>
          </w:p>
        </w:tc>
        <w:tc>
          <w:tcPr>
            <w:tcW w:w="1560" w:type="dxa"/>
          </w:tcPr>
          <w:p>
            <w:pPr/>
            <w:r>
              <w:t xml:space="preserve">K + I: Das Original ist zweidimensional (Feststellung + „daher“-Folgerung); der Begründungsteil ist gestrichen. Die doppelte Verneinung „nicht ohne“ ist zu „nur mit“ aufgelöst. Nicht validiert.</w:t>
            </w:r>
          </w:p>
        </w:tc>
        <w:tc>
          <w:tcPr>
            <w:tcW w:w="1560" w:type="dxa"/>
          </w:tcPr>
          <w:p>
            <w:pPr/>
            <w:r>
              <w:t xml:space="preserve">R: Die Items erfassen, ob das Tool menschliche Kontrolle erfordert (S. 8). Das widerspricht der Vertrauensdefinition „unabhängig von Kontrolle“ (S. 4).</w:t>
            </w:r>
          </w:p>
        </w:tc>
      </w:tr>
      <w:tr>
        <w:tc>
          <w:tcPr>
            <w:tcW w:w="1560" w:type="dxa"/>
          </w:tcPr>
          <w:p>
            <w:pPr/>
            <w:r>
              <w:t xml:space="preserve">D1-Q4-T3</w:t>
            </w:r>
          </w:p>
        </w:tc>
        <w:tc>
          <w:tcPr>
            <w:tcW w:w="1560" w:type="dxa"/>
          </w:tcPr>
          <w:p>
            <w:pPr/>
            <w:r>
              <w:t xml:space="preserve">Trust</w:t>
            </w:r>
          </w:p>
        </w:tc>
        <w:tc>
          <w:tcPr>
            <w:tcW w:w="1560" w:type="dxa"/>
          </w:tcPr>
          <w:p>
            <w:pPr/>
            <w:r>
              <w:t xml:space="preserve">Wir fühlen uns wohl dabei, unternehmenskritische Aufgaben ohne Kontrollen an ChatGPT zu geben.</w:t>
            </w:r>
          </w:p>
        </w:tc>
        <w:tc>
          <w:tcPr>
            <w:tcW w:w="1560" w:type="dxa"/>
          </w:tcPr>
          <w:p>
            <w:pPr/>
            <w:r>
              <w:t xml:space="preserve">Ich würde mich wohl dabei fühlen, unternehmenskritische Aufgaben ohne Kontrollen an Copilot zu geben.</w:t>
            </w:r>
          </w:p>
        </w:tc>
        <w:tc>
          <w:tcPr>
            <w:tcW w:w="1560" w:type="dxa"/>
          </w:tcPr>
          <w:p>
            <w:pPr/>
            <w:r>
              <w:t xml:space="preserve">K: Perspektive, Konjunktiv (Emotion ohne Nutzung). „ohne Kontrollen“ bleibt erhalten.</w:t>
            </w:r>
          </w:p>
        </w:tc>
        <w:tc>
          <w:tcPr>
            <w:tcW w:w="1560" w:type="dxa"/>
          </w:tcPr>
          <w:p>
            <w:pPr/>
            <w:r>
              <w:t xml:space="preserve">–</w:t>
            </w:r>
          </w:p>
        </w:tc>
      </w:tr>
      <w:tr>
        <w:tc>
          <w:tcPr>
            <w:tcW w:w="1560" w:type="dxa"/>
          </w:tcPr>
          <w:p>
            <w:pPr/>
            <w:r>
              <w:t xml:space="preserve">D1-Q4-T4</w:t>
            </w:r>
          </w:p>
        </w:tc>
        <w:tc>
          <w:tcPr>
            <w:tcW w:w="1560" w:type="dxa"/>
          </w:tcPr>
          <w:p>
            <w:pPr/>
            <w:r>
              <w:t xml:space="preserve">Trust</w:t>
            </w:r>
          </w:p>
        </w:tc>
        <w:tc>
          <w:tcPr>
            <w:tcW w:w="1560" w:type="dxa"/>
          </w:tcPr>
          <w:p>
            <w:pPr/>
            <w:r>
              <w:t xml:space="preserve">Ich vertraue den Antworten von ChatGPT.</w:t>
            </w:r>
          </w:p>
        </w:tc>
        <w:tc>
          <w:tcPr>
            <w:tcW w:w="1560" w:type="dxa"/>
          </w:tcPr>
          <w:p>
            <w:pPr/>
            <w:r>
              <w:t xml:space="preserve">Ich würde den Antworten von Copilot vertrauen.</w:t>
            </w:r>
          </w:p>
        </w:tc>
        <w:tc>
          <w:tcPr>
            <w:tcW w:w="1560" w:type="dxa"/>
          </w:tcPr>
          <w:p>
            <w:pPr/>
            <w:r>
              <w:t xml:space="preserve">K: Der Indikativ setzt Erfahrung voraus, daher Konjunktiv.</w:t>
            </w:r>
          </w:p>
        </w:tc>
        <w:tc>
          <w:tcPr>
            <w:tcW w:w="1560" w:type="dxa"/>
          </w:tcPr>
          <w:p>
            <w:pPr/>
            <w:r>
              <w:t xml:space="preserve">–</w:t>
            </w:r>
          </w:p>
        </w:tc>
      </w:tr>
      <w:tr>
        <w:tc>
          <w:tcPr>
            <w:tcW w:w="1560" w:type="dxa"/>
          </w:tcPr>
          <w:p>
            <w:pPr/>
            <w:r>
              <w:t xml:space="preserve">D1-Q4-I1</w:t>
            </w:r>
          </w:p>
        </w:tc>
        <w:tc>
          <w:tcPr>
            <w:tcW w:w="1560" w:type="dxa"/>
          </w:tcPr>
          <w:p>
            <w:pPr/>
            <w:r>
              <w:t xml:space="preserve">Intention to use</w:t>
            </w:r>
          </w:p>
        </w:tc>
        <w:tc>
          <w:tcPr>
            <w:tcW w:w="1560" w:type="dxa"/>
          </w:tcPr>
          <w:p>
            <w:pPr/>
            <w:r>
              <w:t xml:space="preserve">Wir beabsichtigen von jetzt an, ChatGPT in unseren Unternehmensprozessen einzusetzen.</w:t>
            </w:r>
          </w:p>
        </w:tc>
        <w:tc>
          <w:tcPr>
            <w:tcW w:w="1560" w:type="dxa"/>
          </w:tcPr>
          <w:p>
            <w:pPr/>
            <w:r>
              <w:t xml:space="preserve">Ich beabsichtige, Copilot ab seiner Verfügbarkeit in unseren Unternehmensprozessen einzusetzen.</w:t>
            </w:r>
          </w:p>
        </w:tc>
        <w:tc>
          <w:tcPr>
            <w:tcW w:w="1560" w:type="dxa"/>
          </w:tcPr>
          <w:p>
            <w:pPr/>
            <w:r>
              <w:t xml:space="preserve">K + I: Perspektive. „von jetzt an“ widerspricht der Phase vor Einführung; der Zeitanker ist ersetzt (nicht validiert). „beabsichtige“ bleibt im Indikativ: Die Absicht ist ein gegenwärtiger Zustand, und die Nutzung ist bereits als künftig markiert [eigene Bewertung].</w:t>
            </w:r>
          </w:p>
        </w:tc>
        <w:tc>
          <w:tcPr>
            <w:tcW w:w="1560" w:type="dxa"/>
          </w:tcPr>
          <w:p>
            <w:pPr/>
            <w:r>
              <w:t xml:space="preserve">–</w:t>
            </w:r>
          </w:p>
        </w:tc>
      </w:tr>
      <w:tr>
        <w:tc>
          <w:tcPr>
            <w:tcW w:w="1560" w:type="dxa"/>
          </w:tcPr>
          <w:p>
            <w:pPr/>
            <w:r>
              <w:t xml:space="preserve">D1-Q4-I2</w:t>
            </w:r>
          </w:p>
        </w:tc>
        <w:tc>
          <w:tcPr>
            <w:tcW w:w="1560" w:type="dxa"/>
          </w:tcPr>
          <w:p>
            <w:pPr/>
            <w:r>
              <w:t xml:space="preserve">Intention to use</w:t>
            </w:r>
          </w:p>
        </w:tc>
        <w:tc>
          <w:tcPr>
            <w:tcW w:w="1560" w:type="dxa"/>
          </w:tcPr>
          <w:p>
            <w:pPr/>
            <w:r>
              <w:t xml:space="preserve">In Zukunft beabsichtigen wir, ChatGPT in unseren Unternehmensprozessen einzusetzen.</w:t>
            </w:r>
          </w:p>
        </w:tc>
        <w:tc>
          <w:tcPr>
            <w:tcW w:w="1560" w:type="dxa"/>
          </w:tcPr>
          <w:p>
            <w:pPr/>
            <w:r>
              <w:t xml:space="preserve">In Zukunft beabsichtige ich, Copilot in unseren Unternehmensprozessen einzusetzen.</w:t>
            </w:r>
          </w:p>
        </w:tc>
        <w:tc>
          <w:tcPr>
            <w:tcW w:w="1560" w:type="dxa"/>
          </w:tcPr>
          <w:p>
            <w:pPr/>
            <w:r>
              <w:t xml:space="preserve">K: Perspektive, Technologie</w:t>
            </w:r>
          </w:p>
        </w:tc>
        <w:tc>
          <w:tcPr>
            <w:tcW w:w="1560" w:type="dxa"/>
          </w:tcPr>
          <w:p>
            <w:pPr/>
            <w:r>
              <w:t xml:space="preserve">–</w:t>
            </w:r>
          </w:p>
        </w:tc>
      </w:tr>
      <w:tr>
        <w:tc>
          <w:tcPr>
            <w:tcW w:w="1560" w:type="dxa"/>
          </w:tcPr>
          <w:p>
            <w:pPr/>
            <w:r>
              <w:t xml:space="preserve">D1-Q4-I3</w:t>
            </w:r>
          </w:p>
        </w:tc>
        <w:tc>
          <w:tcPr>
            <w:tcW w:w="1560" w:type="dxa"/>
          </w:tcPr>
          <w:p>
            <w:pPr/>
            <w:r>
              <w:t xml:space="preserve">Intention to use</w:t>
            </w:r>
          </w:p>
        </w:tc>
        <w:tc>
          <w:tcPr>
            <w:tcW w:w="1560" w:type="dxa"/>
          </w:tcPr>
          <w:p>
            <w:pPr/>
            <w:r>
              <w:t xml:space="preserve">Unsere Absichten, ChatGPT in unseren Unternehmensprozessen einzusetzen, sind hoch.</w:t>
            </w:r>
          </w:p>
        </w:tc>
        <w:tc>
          <w:tcPr>
            <w:tcW w:w="1560" w:type="dxa"/>
          </w:tcPr>
          <w:p>
            <w:pPr/>
            <w:r>
              <w:t xml:space="preserve">Meine Absicht, Copilot in unseren Unternehmensprozessen einzusetzen, ist hoch.</w:t>
            </w:r>
          </w:p>
        </w:tc>
        <w:tc>
          <w:tcPr>
            <w:tcW w:w="1560" w:type="dxa"/>
          </w:tcPr>
          <w:p>
            <w:pPr/>
            <w:r>
              <w:t xml:space="preserve">K: Perspektive, Technologie</w:t>
            </w:r>
          </w:p>
        </w:tc>
        <w:tc>
          <w:tcPr>
            <w:tcW w:w="1560" w:type="dxa"/>
          </w:tcPr>
          <w:p>
            <w:pPr/>
            <w:r>
              <w:t xml:space="preserve">–</w:t>
            </w:r>
          </w:p>
        </w:tc>
      </w:tr>
    </w:tbl>
    <w:p>
      <w:pPr>
        <w:pStyle w:val="Heading3"/>
      </w:pPr>
      <w:r>
        <w:t xml:space="preserve">B2 – Reasoned Action Approach (P2; nur englisches Original in D1-Q2)</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Item-ID</w:t>
            </w:r>
          </w:p>
        </w:tc>
        <w:tc>
          <w:tcPr>
            <w:tcW w:w="1560" w:type="dxa"/>
            <w:shd w:val="clear" w:color="auto" w:fill="F2F2F2"/>
          </w:tcPr>
          <w:p>
            <w:pPr/>
            <w:r>
              <w:t xml:space="preserve">Konstrukt</w:t>
            </w:r>
          </w:p>
        </w:tc>
        <w:tc>
          <w:tcPr>
            <w:tcW w:w="1560" w:type="dxa"/>
            <w:shd w:val="clear" w:color="auto" w:fill="F2F2F2"/>
          </w:tcPr>
          <w:p>
            <w:pPr/>
            <w:r>
              <w:t xml:space="preserve">Originalitem</w:t>
            </w:r>
          </w:p>
        </w:tc>
        <w:tc>
          <w:tcPr>
            <w:tcW w:w="1560" w:type="dxa"/>
            <w:shd w:val="clear" w:color="auto" w:fill="F2F2F2"/>
          </w:tcPr>
          <w:p>
            <w:pPr/>
            <w:r>
              <w:t xml:space="preserve">finales Item</w:t>
            </w:r>
          </w:p>
        </w:tc>
        <w:tc>
          <w:tcPr>
            <w:tcW w:w="1560" w:type="dxa"/>
            <w:shd w:val="clear" w:color="auto" w:fill="F2F2F2"/>
          </w:tcPr>
          <w:p>
            <w:pPr/>
            <w:r>
              <w:t xml:space="preserve">Adaption (Code + Begründung)</w:t>
            </w:r>
          </w:p>
        </w:tc>
        <w:tc>
          <w:tcPr>
            <w:tcW w:w="1560" w:type="dxa"/>
            <w:shd w:val="clear" w:color="auto" w:fill="F2F2F2"/>
          </w:tcPr>
          <w:p>
            <w:pPr/>
            <w:r>
              <w:t xml:space="preserve">(R)</w:t>
            </w:r>
          </w:p>
        </w:tc>
      </w:tr>
      <w:tr>
        <w:tc>
          <w:tcPr>
            <w:tcW w:w="1560" w:type="dxa"/>
          </w:tcPr>
          <w:p>
            <w:pPr/>
            <w:r>
              <w:t xml:space="preserve">D1-Q2-2(1)</w:t>
            </w:r>
          </w:p>
        </w:tc>
        <w:tc>
          <w:tcPr>
            <w:tcW w:w="1560" w:type="dxa"/>
          </w:tcPr>
          <w:p>
            <w:pPr/>
            <w:r>
              <w:t xml:space="preserve">Attitude</w:t>
            </w:r>
          </w:p>
        </w:tc>
        <w:tc>
          <w:tcPr>
            <w:tcW w:w="1560" w:type="dxa"/>
          </w:tcPr>
          <w:p>
            <w:pPr/>
            <w:r>
              <w:t xml:space="preserve">The use of PowerPilot would be… advantageous.</w:t>
            </w:r>
          </w:p>
        </w:tc>
        <w:tc>
          <w:tcPr>
            <w:tcW w:w="1560" w:type="dxa"/>
          </w:tcPr>
          <w:p>
            <w:pPr/>
            <w:r>
              <w:t xml:space="preserve">Die Nutzung von Copilot wäre … vorteilhaft.</w:t>
            </w:r>
          </w:p>
        </w:tc>
        <w:tc>
          <w:tcPr>
            <w:tcW w:w="1560" w:type="dxa"/>
          </w:tcPr>
          <w:p>
            <w:pPr/>
            <w:r>
              <w:t xml:space="preserve">Ü, K. Der Stamm „Think about the previous described situation“ bleibt als Instruktion erhalten, weil er vom Szenario abhängt (S. 965).</w:t>
            </w:r>
          </w:p>
        </w:tc>
        <w:tc>
          <w:tcPr>
            <w:tcW w:w="1560" w:type="dxa"/>
          </w:tcPr>
          <w:p>
            <w:pPr/>
            <w:r>
              <w:t xml:space="preserve">–</w:t>
            </w:r>
          </w:p>
        </w:tc>
      </w:tr>
      <w:tr>
        <w:tc>
          <w:tcPr>
            <w:tcW w:w="1560" w:type="dxa"/>
          </w:tcPr>
          <w:p>
            <w:pPr/>
            <w:r>
              <w:t xml:space="preserve">D1-Q2-2(2)</w:t>
            </w:r>
          </w:p>
        </w:tc>
        <w:tc>
          <w:tcPr>
            <w:tcW w:w="1560" w:type="dxa"/>
          </w:tcPr>
          <w:p>
            <w:pPr/>
            <w:r>
              <w:t xml:space="preserve">Attitude</w:t>
            </w:r>
          </w:p>
        </w:tc>
        <w:tc>
          <w:tcPr>
            <w:tcW w:w="1560" w:type="dxa"/>
          </w:tcPr>
          <w:p>
            <w:pPr/>
            <w:r>
              <w:t xml:space="preserve">… satisfactory.</w:t>
            </w:r>
          </w:p>
        </w:tc>
        <w:tc>
          <w:tcPr>
            <w:tcW w:w="1560" w:type="dxa"/>
          </w:tcPr>
          <w:p>
            <w:pPr/>
            <w:r>
              <w:t xml:space="preserve">… zufriedenstellend.</w:t>
            </w:r>
          </w:p>
        </w:tc>
        <w:tc>
          <w:tcPr>
            <w:tcW w:w="1560" w:type="dxa"/>
          </w:tcPr>
          <w:p>
            <w:pPr/>
            <w:r>
              <w:t xml:space="preserve">Ü, K</w:t>
            </w:r>
          </w:p>
        </w:tc>
        <w:tc>
          <w:tcPr>
            <w:tcW w:w="1560" w:type="dxa"/>
          </w:tcPr>
          <w:p>
            <w:pPr/>
            <w:r>
              <w:t xml:space="preserve">–</w:t>
            </w:r>
          </w:p>
        </w:tc>
      </w:tr>
      <w:tr>
        <w:tc>
          <w:tcPr>
            <w:tcW w:w="1560" w:type="dxa"/>
          </w:tcPr>
          <w:p>
            <w:pPr/>
            <w:r>
              <w:t xml:space="preserve">D1-Q2-2(3)</w:t>
            </w:r>
          </w:p>
        </w:tc>
        <w:tc>
          <w:tcPr>
            <w:tcW w:w="1560" w:type="dxa"/>
          </w:tcPr>
          <w:p>
            <w:pPr/>
            <w:r>
              <w:t xml:space="preserve">Attitude</w:t>
            </w:r>
          </w:p>
        </w:tc>
        <w:tc>
          <w:tcPr>
            <w:tcW w:w="1560" w:type="dxa"/>
          </w:tcPr>
          <w:p>
            <w:pPr/>
            <w:r>
              <w:t xml:space="preserve">… important.</w:t>
            </w:r>
          </w:p>
        </w:tc>
        <w:tc>
          <w:tcPr>
            <w:tcW w:w="1560" w:type="dxa"/>
          </w:tcPr>
          <w:p>
            <w:pPr/>
            <w:r>
              <w:t xml:space="preserve">… wichtig.</w:t>
            </w:r>
          </w:p>
        </w:tc>
        <w:tc>
          <w:tcPr>
            <w:tcW w:w="1560" w:type="dxa"/>
          </w:tcPr>
          <w:p>
            <w:pPr/>
            <w:r>
              <w:t xml:space="preserve">Ü, K</w:t>
            </w:r>
          </w:p>
        </w:tc>
        <w:tc>
          <w:tcPr>
            <w:tcW w:w="1560" w:type="dxa"/>
          </w:tcPr>
          <w:p>
            <w:pPr/>
            <w:r>
              <w:t xml:space="preserve">–</w:t>
            </w:r>
          </w:p>
        </w:tc>
      </w:tr>
      <w:tr>
        <w:tc>
          <w:tcPr>
            <w:tcW w:w="1560" w:type="dxa"/>
          </w:tcPr>
          <w:p>
            <w:pPr/>
            <w:r>
              <w:t xml:space="preserve">D1-Q2-2(4)</w:t>
            </w:r>
          </w:p>
        </w:tc>
        <w:tc>
          <w:tcPr>
            <w:tcW w:w="1560" w:type="dxa"/>
          </w:tcPr>
          <w:p>
            <w:pPr/>
            <w:r>
              <w:t xml:space="preserve">Attitude</w:t>
            </w:r>
          </w:p>
        </w:tc>
        <w:tc>
          <w:tcPr>
            <w:tcW w:w="1560" w:type="dxa"/>
          </w:tcPr>
          <w:p>
            <w:pPr/>
            <w:r>
              <w:t xml:space="preserve">… enjoyable.</w:t>
            </w:r>
          </w:p>
        </w:tc>
        <w:tc>
          <w:tcPr>
            <w:tcW w:w="1560" w:type="dxa"/>
          </w:tcPr>
          <w:p>
            <w:pPr/>
            <w:r>
              <w:t xml:space="preserve">… angenehm.</w:t>
            </w:r>
          </w:p>
        </w:tc>
        <w:tc>
          <w:tcPr>
            <w:tcW w:w="1560" w:type="dxa"/>
          </w:tcPr>
          <w:p>
            <w:pPr/>
            <w:r>
              <w:t xml:space="preserve">Ü, K</w:t>
            </w:r>
          </w:p>
        </w:tc>
        <w:tc>
          <w:tcPr>
            <w:tcW w:w="1560" w:type="dxa"/>
          </w:tcPr>
          <w:p>
            <w:pPr/>
            <w:r>
              <w:t xml:space="preserve">–</w:t>
            </w:r>
          </w:p>
        </w:tc>
      </w:tr>
      <w:tr>
        <w:tc>
          <w:tcPr>
            <w:tcW w:w="1560" w:type="dxa"/>
          </w:tcPr>
          <w:p>
            <w:pPr/>
            <w:r>
              <w:t xml:space="preserve">D1-Q2-3(1)</w:t>
            </w:r>
          </w:p>
        </w:tc>
        <w:tc>
          <w:tcPr>
            <w:tcW w:w="1560" w:type="dxa"/>
          </w:tcPr>
          <w:p>
            <w:pPr/>
            <w:r>
              <w:t xml:space="preserve">Perceived norms</w:t>
            </w:r>
          </w:p>
        </w:tc>
        <w:tc>
          <w:tcPr>
            <w:tcW w:w="1560" w:type="dxa"/>
          </w:tcPr>
          <w:p>
            <w:pPr/>
            <w:r>
              <w:t xml:space="preserve">My best friends would recommend me to use PowerPilot.</w:t>
            </w:r>
          </w:p>
        </w:tc>
        <w:tc>
          <w:tcPr>
            <w:tcW w:w="1560" w:type="dxa"/>
          </w:tcPr>
          <w:p>
            <w:pPr/>
            <w:r>
              <w:t xml:space="preserve">Meine besten Freundinnen und Freunde würden mir empfehlen, Copilot zu nutzen.</w:t>
            </w:r>
          </w:p>
        </w:tc>
        <w:tc>
          <w:tcPr>
            <w:tcW w:w="1560" w:type="dxa"/>
          </w:tcPr>
          <w:p>
            <w:pPr/>
            <w:r>
              <w:t xml:space="preserve">Ü, K</w:t>
            </w:r>
          </w:p>
        </w:tc>
        <w:tc>
          <w:tcPr>
            <w:tcW w:w="1560" w:type="dxa"/>
          </w:tcPr>
          <w:p>
            <w:pPr/>
            <w:r>
              <w:t xml:space="preserve">–</w:t>
            </w:r>
          </w:p>
        </w:tc>
      </w:tr>
      <w:tr>
        <w:tc>
          <w:tcPr>
            <w:tcW w:w="1560" w:type="dxa"/>
          </w:tcPr>
          <w:p>
            <w:pPr/>
            <w:r>
              <w:t xml:space="preserve">D1-Q2-3(2)</w:t>
            </w:r>
          </w:p>
        </w:tc>
        <w:tc>
          <w:tcPr>
            <w:tcW w:w="1560" w:type="dxa"/>
          </w:tcPr>
          <w:p>
            <w:pPr/>
            <w:r>
              <w:t xml:space="preserve">Perceived norms</w:t>
            </w:r>
          </w:p>
        </w:tc>
        <w:tc>
          <w:tcPr>
            <w:tcW w:w="1560" w:type="dxa"/>
          </w:tcPr>
          <w:p>
            <w:pPr/>
            <w:r>
              <w:t xml:space="preserve">My family would recommend me to use PowerPilot.</w:t>
            </w:r>
          </w:p>
        </w:tc>
        <w:tc>
          <w:tcPr>
            <w:tcW w:w="1560" w:type="dxa"/>
          </w:tcPr>
          <w:p>
            <w:pPr/>
            <w:r>
              <w:t xml:space="preserve">Meine Familie würde mir empfehlen, Copilot zu nutzen.</w:t>
            </w:r>
          </w:p>
        </w:tc>
        <w:tc>
          <w:tcPr>
            <w:tcW w:w="1560" w:type="dxa"/>
          </w:tcPr>
          <w:p>
            <w:pPr/>
            <w:r>
              <w:t xml:space="preserve">Ü, K</w:t>
            </w:r>
          </w:p>
        </w:tc>
        <w:tc>
          <w:tcPr>
            <w:tcW w:w="1560" w:type="dxa"/>
          </w:tcPr>
          <w:p>
            <w:pPr/>
            <w:r>
              <w:t xml:space="preserve">–</w:t>
            </w:r>
          </w:p>
        </w:tc>
      </w:tr>
      <w:tr>
        <w:tc>
          <w:tcPr>
            <w:tcW w:w="1560" w:type="dxa"/>
          </w:tcPr>
          <w:p>
            <w:pPr/>
            <w:r>
              <w:t xml:space="preserve">D1-Q2-3(3)</w:t>
            </w:r>
          </w:p>
        </w:tc>
        <w:tc>
          <w:tcPr>
            <w:tcW w:w="1560" w:type="dxa"/>
          </w:tcPr>
          <w:p>
            <w:pPr/>
            <w:r>
              <w:t xml:space="preserve">Perceived norms</w:t>
            </w:r>
          </w:p>
        </w:tc>
        <w:tc>
          <w:tcPr>
            <w:tcW w:w="1560" w:type="dxa"/>
          </w:tcPr>
          <w:p>
            <w:pPr/>
            <w:r>
              <w:t xml:space="preserve">My colleagues at work in a situation similar to mine would recommend me to use PowerPilot.</w:t>
            </w:r>
          </w:p>
        </w:tc>
        <w:tc>
          <w:tcPr>
            <w:tcW w:w="1560" w:type="dxa"/>
          </w:tcPr>
          <w:p>
            <w:pPr/>
            <w:r>
              <w:t xml:space="preserve">Meine Kolleginnen und Kollegen in einer ähnlichen Arbeitssituation wie meiner würden mir empfehlen, Copilot zu nutzen.</w:t>
            </w:r>
          </w:p>
        </w:tc>
        <w:tc>
          <w:tcPr>
            <w:tcW w:w="1560" w:type="dxa"/>
          </w:tcPr>
          <w:p>
            <w:pPr/>
            <w:r>
              <w:t xml:space="preserve">Ü, K</w:t>
            </w:r>
          </w:p>
        </w:tc>
        <w:tc>
          <w:tcPr>
            <w:tcW w:w="1560" w:type="dxa"/>
          </w:tcPr>
          <w:p>
            <w:pPr/>
            <w:r>
              <w:t xml:space="preserve">–</w:t>
            </w:r>
          </w:p>
        </w:tc>
      </w:tr>
      <w:tr>
        <w:tc>
          <w:tcPr>
            <w:tcW w:w="1560" w:type="dxa"/>
          </w:tcPr>
          <w:p>
            <w:pPr/>
            <w:r>
              <w:t xml:space="preserve">D1-Q2-3(4)</w:t>
            </w:r>
          </w:p>
        </w:tc>
        <w:tc>
          <w:tcPr>
            <w:tcW w:w="1560" w:type="dxa"/>
          </w:tcPr>
          <w:p>
            <w:pPr/>
            <w:r>
              <w:t xml:space="preserve">Perceived norms</w:t>
            </w:r>
          </w:p>
        </w:tc>
        <w:tc>
          <w:tcPr>
            <w:tcW w:w="1560" w:type="dxa"/>
          </w:tcPr>
          <w:p>
            <w:pPr/>
            <w:r>
              <w:t xml:space="preserve">My colleagues at work in a situation not similar to mine would recommend me to use PowerPilot.</w:t>
            </w:r>
          </w:p>
        </w:tc>
        <w:tc>
          <w:tcPr>
            <w:tcW w:w="1560" w:type="dxa"/>
          </w:tcPr>
          <w:p>
            <w:pPr/>
            <w:r>
              <w:t xml:space="preserve">Meine Kolleginnen und Kollegen in einer anderen Arbeitssituation als meiner würden mir empfehlen, Copilot zu nutzen.</w:t>
            </w:r>
          </w:p>
        </w:tc>
        <w:tc>
          <w:tcPr>
            <w:tcW w:w="1560" w:type="dxa"/>
          </w:tcPr>
          <w:p>
            <w:pPr/>
            <w:r>
              <w:t xml:space="preserve">Ü, K. Die Negation „not similar“ ist als „anders als“ aufgelöst; die Bedeutung bleibt erhalten [eigene Bewertung].</w:t>
            </w:r>
          </w:p>
        </w:tc>
        <w:tc>
          <w:tcPr>
            <w:tcW w:w="1560" w:type="dxa"/>
          </w:tcPr>
          <w:p>
            <w:pPr/>
            <w:r>
              <w:t xml:space="preserve">–</w:t>
            </w:r>
          </w:p>
        </w:tc>
      </w:tr>
      <w:tr>
        <w:tc>
          <w:tcPr>
            <w:tcW w:w="1560" w:type="dxa"/>
          </w:tcPr>
          <w:p>
            <w:pPr/>
            <w:r>
              <w:t xml:space="preserve">D1-Q2-4(1)</w:t>
            </w:r>
          </w:p>
        </w:tc>
        <w:tc>
          <w:tcPr>
            <w:tcW w:w="1560" w:type="dxa"/>
          </w:tcPr>
          <w:p>
            <w:pPr/>
            <w:r>
              <w:t xml:space="preserve">Perceived behavioral control</w:t>
            </w:r>
          </w:p>
        </w:tc>
        <w:tc>
          <w:tcPr>
            <w:tcW w:w="1560" w:type="dxa"/>
          </w:tcPr>
          <w:p>
            <w:pPr/>
            <w:r>
              <w:t xml:space="preserve">It is under my control to use PowerPilot.</w:t>
            </w:r>
          </w:p>
        </w:tc>
        <w:tc>
          <w:tcPr>
            <w:tcW w:w="1560" w:type="dxa"/>
          </w:tcPr>
          <w:p>
            <w:pPr/>
            <w:r>
              <w:t xml:space="preserve">Es läge in meiner Kontrolle, Copilot zu nutzen.</w:t>
            </w:r>
          </w:p>
        </w:tc>
        <w:tc>
          <w:tcPr>
            <w:tcW w:w="1560" w:type="dxa"/>
          </w:tcPr>
          <w:p>
            <w:pPr/>
            <w:r>
              <w:t xml:space="preserve">Ü, K, Konjunktiv</w:t>
            </w:r>
          </w:p>
        </w:tc>
        <w:tc>
          <w:tcPr>
            <w:tcW w:w="1560" w:type="dxa"/>
          </w:tcPr>
          <w:p>
            <w:pPr/>
            <w:r>
              <w:t xml:space="preserve">–</w:t>
            </w:r>
          </w:p>
        </w:tc>
      </w:tr>
      <w:tr>
        <w:tc>
          <w:tcPr>
            <w:tcW w:w="1560" w:type="dxa"/>
          </w:tcPr>
          <w:p>
            <w:pPr/>
            <w:r>
              <w:t xml:space="preserve">D1-Q2-4(2)</w:t>
            </w:r>
          </w:p>
        </w:tc>
        <w:tc>
          <w:tcPr>
            <w:tcW w:w="1560" w:type="dxa"/>
          </w:tcPr>
          <w:p>
            <w:pPr/>
            <w:r>
              <w:t xml:space="preserve">Perceived behavioral control</w:t>
            </w:r>
          </w:p>
        </w:tc>
        <w:tc>
          <w:tcPr>
            <w:tcW w:w="1560" w:type="dxa"/>
          </w:tcPr>
          <w:p>
            <w:pPr/>
            <w:r>
              <w:t xml:space="preserve">It is mainly up to me to use PowerPilot.</w:t>
            </w:r>
          </w:p>
        </w:tc>
        <w:tc>
          <w:tcPr>
            <w:tcW w:w="1560" w:type="dxa"/>
          </w:tcPr>
          <w:p>
            <w:pPr/>
            <w:r>
              <w:t xml:space="preserve">Es läge hauptsächlich an mir, Copilot zu nutzen.</w:t>
            </w:r>
          </w:p>
        </w:tc>
        <w:tc>
          <w:tcPr>
            <w:tcW w:w="1560" w:type="dxa"/>
          </w:tcPr>
          <w:p>
            <w:pPr/>
            <w:r>
              <w:t xml:space="preserve">Ü, K, Konjunktiv</w:t>
            </w:r>
          </w:p>
        </w:tc>
        <w:tc>
          <w:tcPr>
            <w:tcW w:w="1560" w:type="dxa"/>
          </w:tcPr>
          <w:p>
            <w:pPr/>
            <w:r>
              <w:t xml:space="preserve">–</w:t>
            </w:r>
          </w:p>
        </w:tc>
      </w:tr>
      <w:tr>
        <w:tc>
          <w:tcPr>
            <w:tcW w:w="1560" w:type="dxa"/>
          </w:tcPr>
          <w:p>
            <w:pPr/>
            <w:r>
              <w:t xml:space="preserve">D1-Q2-4(3)</w:t>
            </w:r>
          </w:p>
        </w:tc>
        <w:tc>
          <w:tcPr>
            <w:tcW w:w="1560" w:type="dxa"/>
          </w:tcPr>
          <w:p>
            <w:pPr/>
            <w:r>
              <w:t xml:space="preserve">Perceived behavioral control</w:t>
            </w:r>
          </w:p>
        </w:tc>
        <w:tc>
          <w:tcPr>
            <w:tcW w:w="1560" w:type="dxa"/>
          </w:tcPr>
          <w:p>
            <w:pPr/>
            <w:r>
              <w:t xml:space="preserve">I am convinced that I can use PowerPilot.</w:t>
            </w:r>
          </w:p>
        </w:tc>
        <w:tc>
          <w:tcPr>
            <w:tcW w:w="1560" w:type="dxa"/>
          </w:tcPr>
          <w:p>
            <w:pPr/>
            <w:r>
              <w:t xml:space="preserve">Ich bin überzeugt, dass ich Copilot nutzen könnte.</w:t>
            </w:r>
          </w:p>
        </w:tc>
        <w:tc>
          <w:tcPr>
            <w:tcW w:w="1560" w:type="dxa"/>
          </w:tcPr>
          <w:p>
            <w:pPr/>
            <w:r>
              <w:t xml:space="preserve">Ü, K, Konjunktiv</w:t>
            </w:r>
          </w:p>
        </w:tc>
        <w:tc>
          <w:tcPr>
            <w:tcW w:w="1560" w:type="dxa"/>
          </w:tcPr>
          <w:p>
            <w:pPr/>
            <w:r>
              <w:t xml:space="preserve">–</w:t>
            </w:r>
          </w:p>
        </w:tc>
      </w:tr>
      <w:tr>
        <w:tc>
          <w:tcPr>
            <w:tcW w:w="1560" w:type="dxa"/>
          </w:tcPr>
          <w:p>
            <w:pPr/>
            <w:r>
              <w:t xml:space="preserve">D1-Q2-4(4)</w:t>
            </w:r>
          </w:p>
        </w:tc>
        <w:tc>
          <w:tcPr>
            <w:tcW w:w="1560" w:type="dxa"/>
          </w:tcPr>
          <w:p>
            <w:pPr/>
            <w:r>
              <w:t xml:space="preserve">Perceived behavioral control</w:t>
            </w:r>
          </w:p>
        </w:tc>
        <w:tc>
          <w:tcPr>
            <w:tcW w:w="1560" w:type="dxa"/>
          </w:tcPr>
          <w:p>
            <w:pPr/>
            <w:r>
              <w:t xml:space="preserve">If I really want to, I can use PowerPilot.</w:t>
            </w:r>
          </w:p>
        </w:tc>
        <w:tc>
          <w:tcPr>
            <w:tcW w:w="1560" w:type="dxa"/>
          </w:tcPr>
          <w:p>
            <w:pPr/>
            <w:r>
              <w:t xml:space="preserve">Wenn ich wirklich wollte, könnte ich Copilot nutzen.</w:t>
            </w:r>
          </w:p>
        </w:tc>
        <w:tc>
          <w:tcPr>
            <w:tcW w:w="1560" w:type="dxa"/>
          </w:tcPr>
          <w:p>
            <w:pPr/>
            <w:r>
              <w:t xml:space="preserve">Ü, K. Die Bedingung stammt aus dem Original.</w:t>
            </w:r>
          </w:p>
        </w:tc>
        <w:tc>
          <w:tcPr>
            <w:tcW w:w="1560" w:type="dxa"/>
          </w:tcPr>
          <w:p>
            <w:pPr/>
            <w:r>
              <w:t xml:space="preserve">–</w:t>
            </w:r>
          </w:p>
        </w:tc>
      </w:tr>
      <w:tr>
        <w:tc>
          <w:tcPr>
            <w:tcW w:w="1560" w:type="dxa"/>
          </w:tcPr>
          <w:p>
            <w:pPr/>
            <w:r>
              <w:t xml:space="preserve">D1-Q2-1(1)</w:t>
            </w:r>
          </w:p>
        </w:tc>
        <w:tc>
          <w:tcPr>
            <w:tcW w:w="1560" w:type="dxa"/>
          </w:tcPr>
          <w:p>
            <w:pPr/>
            <w:r>
              <w:t xml:space="preserve">Intention to use</w:t>
            </w:r>
          </w:p>
        </w:tc>
        <w:tc>
          <w:tcPr>
            <w:tcW w:w="1560" w:type="dxa"/>
          </w:tcPr>
          <w:p>
            <w:pPr/>
            <w:r>
              <w:t xml:space="preserve">I plan to use PowerPilot in the future.</w:t>
            </w:r>
          </w:p>
        </w:tc>
        <w:tc>
          <w:tcPr>
            <w:tcW w:w="1560" w:type="dxa"/>
          </w:tcPr>
          <w:p>
            <w:pPr/>
            <w:r>
              <w:t xml:space="preserve">Ich plane, Copilot in Zukunft zu nutzen.</w:t>
            </w:r>
          </w:p>
        </w:tc>
        <w:tc>
          <w:tcPr>
            <w:tcW w:w="1560" w:type="dxa"/>
          </w:tcPr>
          <w:p>
            <w:pPr/>
            <w:r>
              <w:t xml:space="preserve">Ü, K. Das Absichtsverb bleibt im Indikativ (Begründung wie D1-Q4-I1) [eigene Bewertung].</w:t>
            </w:r>
          </w:p>
        </w:tc>
        <w:tc>
          <w:tcPr>
            <w:tcW w:w="1560" w:type="dxa"/>
          </w:tcPr>
          <w:p>
            <w:pPr/>
            <w:r>
              <w:t xml:space="preserve">–</w:t>
            </w:r>
          </w:p>
        </w:tc>
      </w:tr>
      <w:tr>
        <w:tc>
          <w:tcPr>
            <w:tcW w:w="1560" w:type="dxa"/>
          </w:tcPr>
          <w:p>
            <w:pPr/>
            <w:r>
              <w:t xml:space="preserve">D1-Q2-1(2)</w:t>
            </w:r>
          </w:p>
        </w:tc>
        <w:tc>
          <w:tcPr>
            <w:tcW w:w="1560" w:type="dxa"/>
          </w:tcPr>
          <w:p>
            <w:pPr/>
            <w:r>
              <w:t xml:space="preserve">Intention to use</w:t>
            </w:r>
          </w:p>
        </w:tc>
        <w:tc>
          <w:tcPr>
            <w:tcW w:w="1560" w:type="dxa"/>
          </w:tcPr>
          <w:p>
            <w:pPr/>
            <w:r>
              <w:t xml:space="preserve">I intend to use PowerPilot in the future.</w:t>
            </w:r>
          </w:p>
        </w:tc>
        <w:tc>
          <w:tcPr>
            <w:tcW w:w="1560" w:type="dxa"/>
          </w:tcPr>
          <w:p>
            <w:pPr/>
            <w:r>
              <w:t xml:space="preserve">Ich beabsichtige, Copilot in Zukunft zu nutzen.</w:t>
            </w:r>
          </w:p>
        </w:tc>
        <w:tc>
          <w:tcPr>
            <w:tcW w:w="1560" w:type="dxa"/>
          </w:tcPr>
          <w:p>
            <w:pPr/>
            <w:r>
              <w:t xml:space="preserve">Ü, K, wie 1(1)</w:t>
            </w:r>
          </w:p>
        </w:tc>
        <w:tc>
          <w:tcPr>
            <w:tcW w:w="1560" w:type="dxa"/>
          </w:tcPr>
          <w:p>
            <w:pPr/>
            <w:r>
              <w:t xml:space="preserve">–</w:t>
            </w:r>
          </w:p>
        </w:tc>
      </w:tr>
      <w:tr>
        <w:tc>
          <w:tcPr>
            <w:tcW w:w="1560" w:type="dxa"/>
          </w:tcPr>
          <w:p>
            <w:pPr/>
            <w:r>
              <w:t xml:space="preserve">D1-Q2-1(3)</w:t>
            </w:r>
          </w:p>
        </w:tc>
        <w:tc>
          <w:tcPr>
            <w:tcW w:w="1560" w:type="dxa"/>
          </w:tcPr>
          <w:p>
            <w:pPr/>
            <w:r>
              <w:t xml:space="preserve">Intention to use</w:t>
            </w:r>
          </w:p>
        </w:tc>
        <w:tc>
          <w:tcPr>
            <w:tcW w:w="1560" w:type="dxa"/>
          </w:tcPr>
          <w:p>
            <w:pPr/>
            <w:r>
              <w:t xml:space="preserve">I will definitely use PowerPilot in the future.</w:t>
            </w:r>
          </w:p>
        </w:tc>
        <w:tc>
          <w:tcPr>
            <w:tcW w:w="1560" w:type="dxa"/>
          </w:tcPr>
          <w:p>
            <w:pPr/>
            <w:r>
              <w:t xml:space="preserve">Ich würde Copilot in Zukunft auf jeden Fall nutzen.</w:t>
            </w:r>
          </w:p>
        </w:tc>
        <w:tc>
          <w:tcPr>
            <w:tcW w:w="1560" w:type="dxa"/>
          </w:tcPr>
          <w:p>
            <w:pPr/>
            <w:r>
              <w:t xml:space="preserve">Ü, K, Konjunktiv. Der Verstärker „definitely“ steht im Original und wurde nicht hinzugefügt.</w:t>
            </w:r>
          </w:p>
        </w:tc>
        <w:tc>
          <w:tcPr>
            <w:tcW w:w="1560" w:type="dxa"/>
          </w:tcPr>
          <w:p>
            <w:pPr/>
            <w:r>
              <w:t xml:space="preserve">–</w:t>
            </w:r>
          </w:p>
        </w:tc>
      </w:tr>
    </w:tbl>
    <w:p>
      <w:pPr>
        <w:pStyle w:val="Heading3"/>
      </w:pPr>
      <w:r>
        <w:t xml:space="preserve">B3 – ATAI (S2, deutsche Originalfassung, Tabelle 1, S. 112)</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Item-ID</w:t>
            </w:r>
          </w:p>
        </w:tc>
        <w:tc>
          <w:tcPr>
            <w:tcW w:w="1560" w:type="dxa"/>
            <w:shd w:val="clear" w:color="auto" w:fill="F2F2F2"/>
          </w:tcPr>
          <w:p>
            <w:pPr/>
            <w:r>
              <w:t xml:space="preserve">Konstrukt</w:t>
            </w:r>
          </w:p>
        </w:tc>
        <w:tc>
          <w:tcPr>
            <w:tcW w:w="1560" w:type="dxa"/>
            <w:shd w:val="clear" w:color="auto" w:fill="F2F2F2"/>
          </w:tcPr>
          <w:p>
            <w:pPr/>
            <w:r>
              <w:t xml:space="preserve">Originalitem</w:t>
            </w:r>
          </w:p>
        </w:tc>
        <w:tc>
          <w:tcPr>
            <w:tcW w:w="1560" w:type="dxa"/>
            <w:shd w:val="clear" w:color="auto" w:fill="F2F2F2"/>
          </w:tcPr>
          <w:p>
            <w:pPr/>
            <w:r>
              <w:t xml:space="preserve">finales Item</w:t>
            </w:r>
          </w:p>
        </w:tc>
        <w:tc>
          <w:tcPr>
            <w:tcW w:w="1560" w:type="dxa"/>
            <w:shd w:val="clear" w:color="auto" w:fill="F2F2F2"/>
          </w:tcPr>
          <w:p>
            <w:pPr/>
            <w:r>
              <w:t xml:space="preserve">Adaption (Code + Begründung)</w:t>
            </w:r>
          </w:p>
        </w:tc>
        <w:tc>
          <w:tcPr>
            <w:tcW w:w="1560" w:type="dxa"/>
            <w:shd w:val="clear" w:color="auto" w:fill="F2F2F2"/>
          </w:tcPr>
          <w:p>
            <w:pPr/>
            <w:r>
              <w:t xml:space="preserve">(R)</w:t>
            </w:r>
          </w:p>
        </w:tc>
      </w:tr>
      <w:tr>
        <w:tc>
          <w:tcPr>
            <w:tcW w:w="1560" w:type="dxa"/>
          </w:tcPr>
          <w:p>
            <w:pPr/>
            <w:r>
              <w:t xml:space="preserve">S2-02</w:t>
            </w:r>
          </w:p>
        </w:tc>
        <w:tc>
          <w:tcPr>
            <w:tcW w:w="1560" w:type="dxa"/>
          </w:tcPr>
          <w:p>
            <w:pPr/>
            <w:r>
              <w:t xml:space="preserve">Acceptance</w:t>
            </w:r>
          </w:p>
        </w:tc>
        <w:tc>
          <w:tcPr>
            <w:tcW w:w="1560" w:type="dxa"/>
          </w:tcPr>
          <w:p>
            <w:pPr/>
            <w:r>
              <w:t xml:space="preserve">Ich vertraue künstlicher Intelligenz.</w:t>
            </w:r>
          </w:p>
        </w:tc>
        <w:tc>
          <w:tcPr>
            <w:tcW w:w="1560" w:type="dxa"/>
          </w:tcPr>
          <w:p>
            <w:pPr/>
            <w:r>
              <w:t xml:space="preserve">unverändert</w:t>
            </w:r>
          </w:p>
        </w:tc>
        <w:tc>
          <w:tcPr>
            <w:tcW w:w="1560" w:type="dxa"/>
          </w:tcPr>
          <w:p>
            <w:pPr/>
            <w:r>
              <w:t xml:space="preserve">Keine Adaption. Das Instrument ist für KI allgemein validiert und wird daher nicht auf Copilot verengt.</w:t>
            </w:r>
          </w:p>
        </w:tc>
        <w:tc>
          <w:tcPr>
            <w:tcW w:w="1560" w:type="dxa"/>
          </w:tcPr>
          <w:p>
            <w:pPr/>
            <w:r>
              <w:t xml:space="preserve">–</w:t>
            </w:r>
          </w:p>
        </w:tc>
      </w:tr>
      <w:tr>
        <w:tc>
          <w:tcPr>
            <w:tcW w:w="1560" w:type="dxa"/>
          </w:tcPr>
          <w:p>
            <w:pPr/>
            <w:r>
              <w:t xml:space="preserve">S2-04</w:t>
            </w:r>
          </w:p>
        </w:tc>
        <w:tc>
          <w:tcPr>
            <w:tcW w:w="1560" w:type="dxa"/>
          </w:tcPr>
          <w:p>
            <w:pPr/>
            <w:r>
              <w:t xml:space="preserve">Acceptance</w:t>
            </w:r>
          </w:p>
        </w:tc>
        <w:tc>
          <w:tcPr>
            <w:tcW w:w="1560" w:type="dxa"/>
          </w:tcPr>
          <w:p>
            <w:pPr/>
            <w:r>
              <w:t xml:space="preserve">Künstliche Intelligenz wird eine Bereicherung für die Menschheit sein.</w:t>
            </w:r>
          </w:p>
        </w:tc>
        <w:tc>
          <w:tcPr>
            <w:tcW w:w="1560" w:type="dxa"/>
          </w:tcPr>
          <w:p>
            <w:pPr/>
            <w:r>
              <w:t xml:space="preserve">unverändert</w:t>
            </w:r>
          </w:p>
        </w:tc>
        <w:tc>
          <w:tcPr>
            <w:tcW w:w="1560" w:type="dxa"/>
          </w:tcPr>
          <w:p>
            <w:pPr/>
            <w:r>
              <w:t xml:space="preserve">keine</w:t>
            </w:r>
          </w:p>
        </w:tc>
        <w:tc>
          <w:tcPr>
            <w:tcW w:w="1560" w:type="dxa"/>
          </w:tcPr>
          <w:p>
            <w:pPr/>
            <w:r>
              <w:t xml:space="preserve">–</w:t>
            </w:r>
          </w:p>
        </w:tc>
      </w:tr>
      <w:tr>
        <w:tc>
          <w:tcPr>
            <w:tcW w:w="1560" w:type="dxa"/>
          </w:tcPr>
          <w:p>
            <w:pPr/>
            <w:r>
              <w:t xml:space="preserve">S2-01</w:t>
            </w:r>
          </w:p>
        </w:tc>
        <w:tc>
          <w:tcPr>
            <w:tcW w:w="1560" w:type="dxa"/>
          </w:tcPr>
          <w:p>
            <w:pPr/>
            <w:r>
              <w:t xml:space="preserve">Fear</w:t>
            </w:r>
          </w:p>
        </w:tc>
        <w:tc>
          <w:tcPr>
            <w:tcW w:w="1560" w:type="dxa"/>
          </w:tcPr>
          <w:p>
            <w:pPr/>
            <w:r>
              <w:t xml:space="preserve">Ich habe Angst vor künstlicher Intelligenz.</w:t>
            </w:r>
          </w:p>
        </w:tc>
        <w:tc>
          <w:tcPr>
            <w:tcW w:w="1560" w:type="dxa"/>
          </w:tcPr>
          <w:p>
            <w:pPr/>
            <w:r>
              <w:t xml:space="preserve">unverändert</w:t>
            </w:r>
          </w:p>
        </w:tc>
        <w:tc>
          <w:tcPr>
            <w:tcW w:w="1560" w:type="dxa"/>
          </w:tcPr>
          <w:p>
            <w:pPr/>
            <w:r>
              <w:t xml:space="preserve">keine</w:t>
            </w:r>
          </w:p>
        </w:tc>
        <w:tc>
          <w:tcPr>
            <w:tcW w:w="1560" w:type="dxa"/>
          </w:tcPr>
          <w:p>
            <w:pPr/>
            <w:r>
              <w:t xml:space="preserve">– (eigener Faktor, nicht invers)</w:t>
            </w:r>
          </w:p>
        </w:tc>
      </w:tr>
      <w:tr>
        <w:tc>
          <w:tcPr>
            <w:tcW w:w="1560" w:type="dxa"/>
          </w:tcPr>
          <w:p>
            <w:pPr/>
            <w:r>
              <w:t xml:space="preserve">S2-03</w:t>
            </w:r>
          </w:p>
        </w:tc>
        <w:tc>
          <w:tcPr>
            <w:tcW w:w="1560" w:type="dxa"/>
          </w:tcPr>
          <w:p>
            <w:pPr/>
            <w:r>
              <w:t xml:space="preserve">Fear</w:t>
            </w:r>
          </w:p>
        </w:tc>
        <w:tc>
          <w:tcPr>
            <w:tcW w:w="1560" w:type="dxa"/>
          </w:tcPr>
          <w:p>
            <w:pPr/>
            <w:r>
              <w:t xml:space="preserve">Künstliche Intelligenz wird die Menschheit zerstören.</w:t>
            </w:r>
          </w:p>
        </w:tc>
        <w:tc>
          <w:tcPr>
            <w:tcW w:w="1560" w:type="dxa"/>
          </w:tcPr>
          <w:p>
            <w:pPr/>
            <w:r>
              <w:t xml:space="preserve">unverändert</w:t>
            </w:r>
          </w:p>
        </w:tc>
        <w:tc>
          <w:tcPr>
            <w:tcW w:w="1560" w:type="dxa"/>
          </w:tcPr>
          <w:p>
            <w:pPr/>
            <w:r>
              <w:t xml:space="preserve">keine</w:t>
            </w:r>
          </w:p>
        </w:tc>
        <w:tc>
          <w:tcPr>
            <w:tcW w:w="1560" w:type="dxa"/>
          </w:tcPr>
          <w:p>
            <w:pPr/>
            <w:r>
              <w:t xml:space="preserve">–</w:t>
            </w:r>
          </w:p>
        </w:tc>
      </w:tr>
      <w:tr>
        <w:tc>
          <w:tcPr>
            <w:tcW w:w="1560" w:type="dxa"/>
          </w:tcPr>
          <w:p>
            <w:pPr/>
            <w:r>
              <w:t xml:space="preserve">S2-05</w:t>
            </w:r>
          </w:p>
        </w:tc>
        <w:tc>
          <w:tcPr>
            <w:tcW w:w="1560" w:type="dxa"/>
          </w:tcPr>
          <w:p>
            <w:pPr/>
            <w:r>
              <w:t xml:space="preserve">Fear</w:t>
            </w:r>
          </w:p>
        </w:tc>
        <w:tc>
          <w:tcPr>
            <w:tcW w:w="1560" w:type="dxa"/>
          </w:tcPr>
          <w:p>
            <w:pPr/>
            <w:r>
              <w:t xml:space="preserve">Künstliche Intelligenz wird für viel Arbeitslosigkeit sorgen.</w:t>
            </w:r>
          </w:p>
        </w:tc>
        <w:tc>
          <w:tcPr>
            <w:tcW w:w="1560" w:type="dxa"/>
          </w:tcPr>
          <w:p>
            <w:pPr/>
            <w:r>
              <w:t xml:space="preserve">unverändert</w:t>
            </w:r>
          </w:p>
        </w:tc>
        <w:tc>
          <w:tcPr>
            <w:tcW w:w="1560" w:type="dxa"/>
          </w:tcPr>
          <w:p>
            <w:pPr/>
            <w:r>
              <w:t xml:space="preserve">Keine Änderung. Das Item lädt schwach (DE: 0,42, S. 113). Die Quelle rät, je nach Stichprobe zu entscheiden; bei Erwerbstätigen erwartet sie eine stärkere Ladung (S. 116). Das spricht für die Aufnahme.</w:t>
            </w:r>
          </w:p>
        </w:tc>
        <w:tc>
          <w:tcPr>
            <w:tcW w:w="1560" w:type="dxa"/>
          </w:tcPr>
          <w:p>
            <w:pPr/>
            <w:r>
              <w:t xml:space="preserve">–</w:t>
            </w:r>
          </w:p>
        </w:tc>
      </w:tr>
    </w:tbl>
    <w:p>
      <w:pPr>
        <w:pStyle w:val="Heading2"/>
      </w:pPr>
      <w:r>
        <w:t xml:space="preserve">Tabelle C – Hypothesen</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H</w:t>
            </w:r>
          </w:p>
        </w:tc>
        <w:tc>
          <w:tcPr>
            <w:tcW w:w="1560" w:type="dxa"/>
            <w:shd w:val="clear" w:color="auto" w:fill="F2F2F2"/>
          </w:tcPr>
          <w:p>
            <w:pPr/>
            <w:r>
              <w:t xml:space="preserve">Hypothese</w:t>
            </w:r>
          </w:p>
        </w:tc>
        <w:tc>
          <w:tcPr>
            <w:tcW w:w="1560" w:type="dxa"/>
            <w:shd w:val="clear" w:color="auto" w:fill="F2F2F2"/>
          </w:tcPr>
          <w:p>
            <w:pPr/>
            <w:r>
              <w:t xml:space="preserve">Gegenannahme</w:t>
            </w:r>
          </w:p>
        </w:tc>
        <w:tc>
          <w:tcPr>
            <w:tcW w:w="1560" w:type="dxa"/>
            <w:shd w:val="clear" w:color="auto" w:fill="F2F2F2"/>
          </w:tcPr>
          <w:p>
            <w:pPr/>
            <w:r>
              <w:t xml:space="preserve">Prädiktor-Items</w:t>
            </w:r>
          </w:p>
        </w:tc>
        <w:tc>
          <w:tcPr>
            <w:tcW w:w="1560" w:type="dxa"/>
            <w:shd w:val="clear" w:color="auto" w:fill="F2F2F2"/>
          </w:tcPr>
          <w:p>
            <w:pPr/>
            <w:r>
              <w:t xml:space="preserve">Kriterium-Items</w:t>
            </w:r>
          </w:p>
        </w:tc>
        <w:tc>
          <w:tcPr>
            <w:tcW w:w="1560" w:type="dxa"/>
            <w:shd w:val="clear" w:color="auto" w:fill="F2F2F2"/>
          </w:tcPr>
          <w:p>
            <w:pPr/>
            <w:r>
              <w:t xml:space="preserve">Quelle (H-Nr., Seite, Ergebnis)</w:t>
            </w:r>
          </w:p>
        </w:tc>
      </w:tr>
      <w:tr>
        <w:tc>
          <w:tcPr>
            <w:tcW w:w="1560" w:type="dxa"/>
          </w:tcPr>
          <w:p>
            <w:pPr/>
            <w:r>
              <w:t xml:space="preserve">H1</w:t>
            </w:r>
          </w:p>
        </w:tc>
        <w:tc>
          <w:tcPr>
            <w:tcW w:w="1560" w:type="dxa"/>
          </w:tcPr>
          <w:p>
            <w:pPr/>
            <w:r>
              <w:t xml:space="preserve">Je höher die wahrgenommene Ability von Copilot, desto höher das Vertrauen in Copilot.</w:t>
            </w:r>
          </w:p>
        </w:tc>
        <w:tc>
          <w:tcPr>
            <w:tcW w:w="1560" w:type="dxa"/>
          </w:tcPr>
          <w:p>
            <w:pPr/>
            <w:r>
              <w:t xml:space="preserve">Ability hängt nicht positiv mit Trust zusammen [eigene Bewertung].</w:t>
            </w:r>
          </w:p>
        </w:tc>
        <w:tc>
          <w:tcPr>
            <w:tcW w:w="1560" w:type="dxa"/>
          </w:tcPr>
          <w:p>
            <w:pPr/>
            <w:r>
              <w:t xml:space="preserve">D1-Q4-X1–X3</w:t>
            </w:r>
          </w:p>
        </w:tc>
        <w:tc>
          <w:tcPr>
            <w:tcW w:w="1560" w:type="dxa"/>
          </w:tcPr>
          <w:p>
            <w:pPr/>
            <w:r>
              <w:t xml:space="preserve">D1-Q4-T1–T4</w:t>
            </w:r>
          </w:p>
        </w:tc>
        <w:tc>
          <w:tcPr>
            <w:tcW w:w="1560" w:type="dxa"/>
          </w:tcPr>
          <w:p>
            <w:pPr/>
            <w:r>
              <w:t xml:space="preserve">Do Khac et al. (2025), H1, S. 6; bestätigt, mit je nach Abteilung unterschiedlicher Stärke (S. 11–12)</w:t>
            </w:r>
          </w:p>
        </w:tc>
      </w:tr>
      <w:tr>
        <w:tc>
          <w:tcPr>
            <w:tcW w:w="1560" w:type="dxa"/>
          </w:tcPr>
          <w:p>
            <w:pPr/>
            <w:r>
              <w:t xml:space="preserve">H2</w:t>
            </w:r>
          </w:p>
        </w:tc>
        <w:tc>
          <w:tcPr>
            <w:tcW w:w="1560" w:type="dxa"/>
          </w:tcPr>
          <w:p>
            <w:pPr/>
            <w:r>
              <w:t xml:space="preserve">Je höher die wahrgenommene Benevolence von Copilot, desto höher das Vertrauen in Copilot.</w:t>
            </w:r>
          </w:p>
        </w:tc>
        <w:tc>
          <w:tcPr>
            <w:tcW w:w="1560" w:type="dxa"/>
          </w:tcPr>
          <w:p>
            <w:pPr/>
            <w:r>
              <w:t xml:space="preserve">Benevolence hat keinen Effekt auf Trust; die Quelle stützt das empirisch (S. 11, 14).</w:t>
            </w:r>
          </w:p>
        </w:tc>
        <w:tc>
          <w:tcPr>
            <w:tcW w:w="1560" w:type="dxa"/>
          </w:tcPr>
          <w:p>
            <w:pPr/>
            <w:r>
              <w:t xml:space="preserve">D1-Q4-U1–U3 (R)</w:t>
            </w:r>
          </w:p>
        </w:tc>
        <w:tc>
          <w:tcPr>
            <w:tcW w:w="1560" w:type="dxa"/>
          </w:tcPr>
          <w:p>
            <w:pPr/>
            <w:r>
              <w:t xml:space="preserve">D1-Q4-T1–T4</w:t>
            </w:r>
          </w:p>
        </w:tc>
        <w:tc>
          <w:tcPr>
            <w:tcW w:w="1560" w:type="dxa"/>
          </w:tcPr>
          <w:p>
            <w:pPr/>
            <w:r>
              <w:t xml:space="preserve">Do Khac et al. (2025), H2, S. 7; nicht bestätigt (S. 11)</w:t>
            </w:r>
          </w:p>
        </w:tc>
      </w:tr>
      <w:tr>
        <w:tc>
          <w:tcPr>
            <w:tcW w:w="1560" w:type="dxa"/>
          </w:tcPr>
          <w:p>
            <w:pPr/>
            <w:r>
              <w:t xml:space="preserve">H3</w:t>
            </w:r>
          </w:p>
        </w:tc>
        <w:tc>
          <w:tcPr>
            <w:tcW w:w="1560" w:type="dxa"/>
          </w:tcPr>
          <w:p>
            <w:pPr/>
            <w:r>
              <w:t xml:space="preserve">Je höher die wahrgenommene Integrity von Copilot, desto höher das Vertrauen in Copilot.</w:t>
            </w:r>
          </w:p>
        </w:tc>
        <w:tc>
          <w:tcPr>
            <w:tcW w:w="1560" w:type="dxa"/>
          </w:tcPr>
          <w:p>
            <w:pPr/>
            <w:r>
              <w:t xml:space="preserve">Integrity hängt nicht positiv mit Trust zusammen [eigene Bewertung].</w:t>
            </w:r>
          </w:p>
        </w:tc>
        <w:tc>
          <w:tcPr>
            <w:tcW w:w="1560" w:type="dxa"/>
          </w:tcPr>
          <w:p>
            <w:pPr/>
            <w:r>
              <w:t xml:space="preserve">D1-Q4-D1–D3</w:t>
            </w:r>
          </w:p>
        </w:tc>
        <w:tc>
          <w:tcPr>
            <w:tcW w:w="1560" w:type="dxa"/>
          </w:tcPr>
          <w:p>
            <w:pPr/>
            <w:r>
              <w:t xml:space="preserve">D1-Q4-T1–T4</w:t>
            </w:r>
          </w:p>
        </w:tc>
        <w:tc>
          <w:tcPr>
            <w:tcW w:w="1560" w:type="dxa"/>
          </w:tcPr>
          <w:p>
            <w:pPr/>
            <w:r>
              <w:t xml:space="preserve">Do Khac et al. (2025), H3, S. 7; bestätigt (S. 11)</w:t>
            </w:r>
          </w:p>
        </w:tc>
      </w:tr>
      <w:tr>
        <w:tc>
          <w:tcPr>
            <w:tcW w:w="1560" w:type="dxa"/>
          </w:tcPr>
          <w:p>
            <w:pPr/>
            <w:r>
              <w:t xml:space="preserve">H4</w:t>
            </w:r>
          </w:p>
        </w:tc>
        <w:tc>
          <w:tcPr>
            <w:tcW w:w="1560" w:type="dxa"/>
          </w:tcPr>
          <w:p>
            <w:pPr/>
            <w:r>
              <w:t xml:space="preserve">Je höher das Vertrauen in Copilot, desto höher die Nutzungsabsicht.</w:t>
            </w:r>
          </w:p>
        </w:tc>
        <w:tc>
          <w:tcPr>
            <w:tcW w:w="1560" w:type="dxa"/>
          </w:tcPr>
          <w:p>
            <w:pPr/>
            <w:r>
              <w:t xml:space="preserve">Trust hängt nicht positiv mit der Nutzungsabsicht zusammen [eigene Bewertung].</w:t>
            </w:r>
          </w:p>
        </w:tc>
        <w:tc>
          <w:tcPr>
            <w:tcW w:w="1560" w:type="dxa"/>
          </w:tcPr>
          <w:p>
            <w:pPr/>
            <w:r>
              <w:t xml:space="preserve">D1-Q4-T1–T4</w:t>
            </w:r>
          </w:p>
        </w:tc>
        <w:tc>
          <w:tcPr>
            <w:tcW w:w="1560" w:type="dxa"/>
          </w:tcPr>
          <w:p>
            <w:pPr/>
            <w:r>
              <w:t xml:space="preserve">D1-Q4-I1–I3</w:t>
            </w:r>
          </w:p>
        </w:tc>
        <w:tc>
          <w:tcPr>
            <w:tcW w:w="1560" w:type="dxa"/>
          </w:tcPr>
          <w:p>
            <w:pPr/>
            <w:r>
              <w:t xml:space="preserve">Do Khac et al. (2025), H4, S. 7; bestätigt, R² = 41–56 % (S. 11)</w:t>
            </w:r>
          </w:p>
        </w:tc>
      </w:tr>
      <w:tr>
        <w:tc>
          <w:tcPr>
            <w:tcW w:w="1560" w:type="dxa"/>
          </w:tcPr>
          <w:p>
            <w:pPr/>
            <w:r>
              <w:t xml:space="preserve">H5</w:t>
            </w:r>
          </w:p>
        </w:tc>
        <w:tc>
          <w:tcPr>
            <w:tcW w:w="1560" w:type="dxa"/>
          </w:tcPr>
          <w:p>
            <w:pPr/>
            <w:r>
              <w:t xml:space="preserve">Attitude hängt positiv mit der Nutzungsabsicht zusammen.</w:t>
            </w:r>
          </w:p>
        </w:tc>
        <w:tc>
          <w:tcPr>
            <w:tcW w:w="1560" w:type="dxa"/>
          </w:tcPr>
          <w:p>
            <w:pPr/>
            <w:r>
              <w:t xml:space="preserve">kein positiver Zusammenhang [eigene Bewertung]</w:t>
            </w:r>
          </w:p>
        </w:tc>
        <w:tc>
          <w:tcPr>
            <w:tcW w:w="1560" w:type="dxa"/>
          </w:tcPr>
          <w:p>
            <w:pPr/>
            <w:r>
              <w:t xml:space="preserve">D1-Q2-2(1)–(4)</w:t>
            </w:r>
          </w:p>
        </w:tc>
        <w:tc>
          <w:tcPr>
            <w:tcW w:w="1560" w:type="dxa"/>
          </w:tcPr>
          <w:p>
            <w:pPr/>
            <w:r>
              <w:t xml:space="preserve">D1-Q2-1(1)–(3)</w:t>
            </w:r>
          </w:p>
        </w:tc>
        <w:tc>
          <w:tcPr>
            <w:tcW w:w="1560" w:type="dxa"/>
          </w:tcPr>
          <w:p>
            <w:pPr/>
            <w:r>
              <w:t xml:space="preserve">Wichmann et al. (2025), H1, S. 964; bestätigt, β = .157, p &lt; .05 (S. 966)</w:t>
            </w:r>
          </w:p>
        </w:tc>
      </w:tr>
      <w:tr>
        <w:tc>
          <w:tcPr>
            <w:tcW w:w="1560" w:type="dxa"/>
          </w:tcPr>
          <w:p>
            <w:pPr/>
            <w:r>
              <w:t xml:space="preserve">H6</w:t>
            </w:r>
          </w:p>
        </w:tc>
        <w:tc>
          <w:tcPr>
            <w:tcW w:w="1560" w:type="dxa"/>
          </w:tcPr>
          <w:p>
            <w:pPr/>
            <w:r>
              <w:t xml:space="preserve">Perceived norms hängen positiv mit der Nutzungsabsicht zusammen.</w:t>
            </w:r>
          </w:p>
        </w:tc>
        <w:tc>
          <w:tcPr>
            <w:tcW w:w="1560" w:type="dxa"/>
          </w:tcPr>
          <w:p>
            <w:pPr/>
            <w:r>
              <w:t xml:space="preserve">kein positiver Zusammenhang [eigene Bewertung]</w:t>
            </w:r>
          </w:p>
        </w:tc>
        <w:tc>
          <w:tcPr>
            <w:tcW w:w="1560" w:type="dxa"/>
          </w:tcPr>
          <w:p>
            <w:pPr/>
            <w:r>
              <w:t xml:space="preserve">D1-Q2-3(1)–(4)</w:t>
            </w:r>
          </w:p>
        </w:tc>
        <w:tc>
          <w:tcPr>
            <w:tcW w:w="1560" w:type="dxa"/>
          </w:tcPr>
          <w:p>
            <w:pPr/>
            <w:r>
              <w:t xml:space="preserve">D1-Q2-1(1)–(3)</w:t>
            </w:r>
          </w:p>
        </w:tc>
        <w:tc>
          <w:tcPr>
            <w:tcW w:w="1560" w:type="dxa"/>
          </w:tcPr>
          <w:p>
            <w:pPr/>
            <w:r>
              <w:t xml:space="preserve">Wichmann et al. (2025), H2, S. 964; bestätigt, β = .203, p &lt; .01 (S. 966)</w:t>
            </w:r>
          </w:p>
        </w:tc>
      </w:tr>
      <w:tr>
        <w:tc>
          <w:tcPr>
            <w:tcW w:w="1560" w:type="dxa"/>
          </w:tcPr>
          <w:p>
            <w:pPr/>
            <w:r>
              <w:t xml:space="preserve">H7</w:t>
            </w:r>
          </w:p>
        </w:tc>
        <w:tc>
          <w:tcPr>
            <w:tcW w:w="1560" w:type="dxa"/>
          </w:tcPr>
          <w:p>
            <w:pPr/>
            <w:r>
              <w:t xml:space="preserve">Perceived behavioral control hängt positiv mit der Nutzungsabsicht zusammen.</w:t>
            </w:r>
          </w:p>
        </w:tc>
        <w:tc>
          <w:tcPr>
            <w:tcW w:w="1560" w:type="dxa"/>
          </w:tcPr>
          <w:p>
            <w:pPr/>
            <w:r>
              <w:t xml:space="preserve">PBC hängt negativ mit der Nutzungsabsicht zusammen: Personen mit geringer wahrgenommener Kontrolle beabsichtigen eher eine Nutzung (S. 967; vgl. Lou et al., 2021, zit. n. Wichmann et al., 2025, S. 962).</w:t>
            </w:r>
          </w:p>
        </w:tc>
        <w:tc>
          <w:tcPr>
            <w:tcW w:w="1560" w:type="dxa"/>
          </w:tcPr>
          <w:p>
            <w:pPr/>
            <w:r>
              <w:t xml:space="preserve">D1-Q2-4(1)–(4)</w:t>
            </w:r>
          </w:p>
        </w:tc>
        <w:tc>
          <w:tcPr>
            <w:tcW w:w="1560" w:type="dxa"/>
          </w:tcPr>
          <w:p>
            <w:pPr/>
            <w:r>
              <w:t xml:space="preserve">D1-Q2-1(1)–(3)</w:t>
            </w:r>
          </w:p>
        </w:tc>
        <w:tc>
          <w:tcPr>
            <w:tcW w:w="1560" w:type="dxa"/>
          </w:tcPr>
          <w:p>
            <w:pPr/>
            <w:r>
              <w:t xml:space="preserve">Wichmann et al. (2025), H10, S. 965. Die Quelle nennt H10 „supported“, der Effekt ist aber negativ (β = −.218, p &lt; .001, S. 967). In Hypothesenrichtung damit nicht bestätigt [eigene Bewertung].</w:t>
            </w:r>
          </w:p>
        </w:tc>
      </w:tr>
    </w:tbl>
    <w:p>
      <w:pPr/>
      <w:r>
        <w:t xml:space="preserve">Für ATAI gibt es keine Hypothese. Die Quelle hat einen Zusammenhang mit der Nutzungsbereitschaft geprüft und bestätigt (S. 111, 114–115). Der Wortlaut der Kriteriumsitems ist aber nicht in den Quellen enthalten.</w:t>
      </w:r>
    </w:p>
    <w:p>
      <w:pPr>
        <w:pStyle w:val="Heading2"/>
      </w:pPr>
      <w:r>
        <w:t xml:space="preserve">Hinweise zur Auswertung</w:t>
      </w:r>
    </w:p>
    <w:p>
      <w:pPr>
        <w:pStyle w:val="ListParagraph"/>
        <w:numPr>
          <w:ilvl w:val="0"/>
          <w:numId w:val="2"/>
        </w:numPr>
      </w:pPr>
      <w:r>
        <w:rPr>
          <w:b/>
        </w:rPr>
        <w:t xml:space="preserve">Jede Skala getrennt auswerten.</w:t>
      </w:r>
      <w:r>
        <w:t xml:space="preserve"> Die beiden Intention-Skalen (P4: I1–I3, P2: 1(1)–(3)) werden nicht zusammengefasst. S2-02 und die P4-Trust-Skala ebenfalls nicht: Die Quelle weist selbst auf die Überschneidung durch das Wort „vertrauen“ hin (S2, S. 113).</w:t>
      </w:r>
    </w:p>
    <w:p>
      <w:pPr>
        <w:pStyle w:val="ListParagraph"/>
        <w:numPr>
          <w:ilvl w:val="0"/>
          <w:numId w:val="2"/>
        </w:numPr>
      </w:pPr>
      <w:r>
        <w:rPr>
          <w:b/>
        </w:rPr>
        <w:t xml:space="preserve">Endmodell von P4.</w:t>
      </w:r>
      <w:r>
        <w:t xml:space="preserve"> Benevolence und Integrity gingen in P4 nur als Einzelindikatoren ins Endmodell ein (S. 17). Welches Item jeweils verwendet wurde, ist nicht in den Quellen enthalten, weil der Anhang mit Ladungen fehlt. Empfehlung: alle drei Items erheben und nach dem Pretest anhand der Ladungen auswählen [eigene Bewertung].</w:t>
      </w:r>
    </w:p>
    <w:p>
      <w:pPr>
        <w:pStyle w:val="ListParagraph"/>
        <w:numPr>
          <w:ilvl w:val="0"/>
          <w:numId w:val="2"/>
        </w:numPr>
      </w:pPr>
      <w:r>
        <w:rPr>
          <w:b/>
        </w:rPr>
        <w:t xml:space="preserve">Skalenänderung.</w:t>
      </w:r>
      <w:r>
        <w:t xml:space="preserve"> Alle Originalskalen (7-stufig, 0–10, P4 unbekannt) werden auf 1–5 umgestellt. Ein Vergleich mit den Kennwerten der Originale ist daher nur eingeschränkt möglich [eigene Bewertung].</w:t>
      </w:r>
    </w:p>
    <w:p>
      <w:pPr>
        <w:pStyle w:val="ListParagraph"/>
        <w:numPr>
          <w:ilvl w:val="0"/>
          <w:numId w:val="2"/>
        </w:numPr>
      </w:pPr>
      <w:r>
        <w:rPr>
          <w:b/>
        </w:rPr>
        <w:t xml:space="preserve">Übertragbarkeit von P4.</w:t>
      </w:r>
      <w:r>
        <w:t xml:space="preserve"> P4 hat Führungskräfte mit „wir“-Perspektive befragt (S. 8). Die Ich-Perspektive für Beschäftigte ist nicht validiert. Beschäftigte haben zudem oft keine Entscheidungsbefugnis über Unternehmensprozesse (T1, T3). Im Pretest prüfen [eigene Bewertung].</w:t>
      </w:r>
    </w:p>
    <w:p>
      <w:pPr>
        <w:pStyle w:val="Heading2"/>
      </w:pPr>
      <w:r>
        <w:t xml:space="preserve">Quellen</w:t>
      </w:r>
    </w:p>
    <w:p>
      <w:pPr/>
      <w:r>
        <w:t xml:space="preserve">Do Khac, L. T., Leyer, M., Wichmann, J., &amp; Richter, A. (2025). Divisional perspectives on trust in generative AI: An empirical study of senior decision-makers. </w:t>
      </w:r>
      <w:r>
        <w:rPr>
          <w:i/>
        </w:rPr>
        <w:t xml:space="preserve">Enterprise Information Systems</w:t>
      </w:r>
      <w:r>
        <w:t xml:space="preserve">. </w:t>
      </w:r>
      <w:hyperlink r:id="rId3" w:history="1">
        <w:r>
          <w:rPr>
            <w:rStyle w:val="Hyperlink"/>
          </w:rPr>
          <w:t xml:space="preserve">https://doi.org/10.1080/17517575.2025.2481557</w:t>
        </w:r>
      </w:hyperlink>
    </w:p>
    <w:p>
      <w:pPr/>
      <w:r>
        <w:t xml:space="preserve">Sindermann, C., Sha, P., Zhou, M., Wernicke, J., Schmitt, H. S., Li, M., Sariyska, R., Stavrou, M., Becker, B., &amp; Montag, C. (2021). Assessing the attitude towards artificial intelligence: Introduction of a short measure in German, Chinese, and English language. </w:t>
      </w:r>
      <w:r>
        <w:rPr>
          <w:i/>
        </w:rPr>
        <w:t xml:space="preserve">KI – Künstliche Intelligenz, 35</w:t>
      </w:r>
      <w:r>
        <w:t xml:space="preserve">, 109–118. </w:t>
      </w:r>
      <w:hyperlink r:id="rId4" w:history="1">
        <w:r>
          <w:rPr>
            <w:rStyle w:val="Hyperlink"/>
          </w:rPr>
          <w:t xml:space="preserve">https://doi.org/10.1007/s13218-020-00689-0</w:t>
        </w:r>
      </w:hyperlink>
    </w:p>
    <w:p>
      <w:pPr/>
      <w:r>
        <w:t xml:space="preserve">Wichmann, J., Behn, O., Degirmenci, K., Leyer, M., &amp; Barros, A. (2025). An integrated theoretical model to predict the intention to use energy monitoring applications. Evidence from Germany. In </w:t>
      </w:r>
      <w:r>
        <w:rPr>
          <w:i/>
        </w:rPr>
        <w:t xml:space="preserve">Proceedings of the 58th Hawaii International Conference on System Sciences</w:t>
      </w:r>
      <w:r>
        <w:t xml:space="preserve"> (S. 961–970). </w:t>
      </w:r>
      <w:hyperlink r:id="rId5" w:history="1">
        <w:r>
          <w:rPr>
            <w:rStyle w:val="Hyperlink"/>
          </w:rPr>
          <w:t xml:space="preserve">https://hdl.handle.net/10125/108952</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doi.org/10.1080/17517575.2025.2481557" TargetMode="External"/><Relationship Id="rId4" Type="http://schemas.openxmlformats.org/officeDocument/2006/relationships/hyperlink" Target="https://doi.org/10.1007/s13218-020-00689-0" TargetMode="External"/><Relationship Id="rId5" Type="http://schemas.openxmlformats.org/officeDocument/2006/relationships/hyperlink" Target="https://hdl.handle.net/10125/108952"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Fragebogen Copilot-Akzeptanz – Ausführung Master-Prompt</dc:title>
  <dc:description>Claude Docs node/19bbb8d4-bc76@6 docx-w6</dc:description>
  <cp:revision>6</cp:revision>
</cp:coreProperties>
</file>