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KI-Readiness Copilot – Quelleninventar und Fragebogen (Prompt V7)</w:t>
      </w:r>
    </w:p>
    <w:p>
      <w:pPr/>
      <w:r>
        <w:t xml:space="preserve">Oct 16, 2026</w:t>
      </w:r>
      <w:r>
        <w:t xml:space="preserve"> · </w:t>
      </w:r>
      <w:r>
        <w:t xml:space="preserve">@Marianna</w:t>
      </w:r>
    </w:p>
    <w:p>
      <w:pPr>
        <w:pStyle w:val="Heading2"/>
      </w:pPr>
      <w:r>
        <w:t xml:space="preserve">Teil I – 1a Formatanalyse</w:t>
      </w:r>
    </w:p>
    <w:p>
      <w:pPr/>
      <w:r>
        <w:rPr>
          <w:b/>
        </w:rPr>
        <w:t xml:space="preserve">Dateianzahl (gezählt):</w:t>
      </w:r>
      <w:r>
        <w:t xml:space="preserve"> 12 Dateien = 1 Textdokument (D1) + 11 PDFs.</w:t>
      </w:r>
    </w:p>
    <w:p>
      <w:pPr>
        <w:pStyle w:val="ListParagraph"/>
        <w:numPr>
          <w:ilvl w:val="0"/>
          <w:numId w:val="2"/>
        </w:numPr>
      </w:pPr>
      <w:r>
        <w:t xml:space="preserve">Original und Kopie liegen beide vor für P1, P2 und P3. Die P3-Kopie wurde vollständig gelesen und ist inhaltsgleich mit dem Original (visueller Abgleich, ⚠ nicht automatisiert zeichengenau). Die Kopien von P1 und P2 sind ⚠ nicht geprüft.</w:t>
      </w:r>
    </w:p>
    <w:p>
      <w:pPr>
        <w:pStyle w:val="ListParagraph"/>
        <w:numPr>
          <w:ilvl w:val="0"/>
          <w:numId w:val="2"/>
        </w:numPr>
      </w:pPr>
      <w:r>
        <w:t xml:space="preserve">Daraus ergeben sich 9 unterschiedliche Dokumente bzw. 7 Quelleneinheiten: S1 (S1a + S1b), S2 sowie P1–P5, jeweils mit dem zugehörigen Teil von D1.</w:t>
      </w:r>
    </w:p>
    <w:p>
      <w:pPr>
        <w:pStyle w:val="Heading3"/>
      </w:pPr>
      <w:r>
        <w:t xml:space="preserve">1a-I Stammdaten</w:t>
      </w:r>
    </w:p>
    <w:tbl>
      <w:tblPr>
        <w:tblStyle w:val="TableGrid"/>
        <w:tblW w:w="0" w:type="auto"/>
        <w:tblLayout w:type="fixed"/>
        <w:tblLook w:val="04A0" w:firstRow="1" w:lastRow="0" w:firstColumn="0" w:lastColumn="0" w:noHBand="0" w:noVBand="1"/>
      </w:tblPr>
      <w:tblGrid>
        <w:gridCol w:w="922"/>
        <w:gridCol w:w="1170"/>
        <w:gridCol w:w="1170"/>
        <w:gridCol w:w="1418"/>
        <w:gridCol w:w="1170"/>
        <w:gridCol w:w="1170"/>
        <w:gridCol w:w="1170"/>
        <w:gridCol w:w="1170"/>
      </w:tblGrid>
      <w:tr>
        <w:trPr>
          <w:tblHeader/>
        </w:trPr>
        <w:tc>
          <w:tcPr>
            <w:tcW w:w="922" w:type="dxa"/>
            <w:shd w:val="clear" w:color="auto" w:fill="F2F2F2"/>
          </w:tcPr>
          <w:p>
            <w:pPr/>
            <w:r>
              <w:t xml:space="preserve">Kürzel</w:t>
            </w:r>
          </w:p>
        </w:tc>
        <w:tc>
          <w:tcPr>
            <w:tcW w:w="1170" w:type="dxa"/>
            <w:shd w:val="clear" w:color="auto" w:fill="F2F2F2"/>
          </w:tcPr>
          <w:p>
            <w:pPr/>
            <w:r>
              <w:t xml:space="preserve">Dokumenttyp</w:t>
            </w:r>
          </w:p>
        </w:tc>
        <w:tc>
          <w:tcPr>
            <w:tcW w:w="1170" w:type="dxa"/>
            <w:shd w:val="clear" w:color="auto" w:fill="F2F2F2"/>
          </w:tcPr>
          <w:p>
            <w:pPr/>
            <w:r>
              <w:t xml:space="preserve">zugehörig</w:t>
            </w:r>
          </w:p>
        </w:tc>
        <w:tc>
          <w:tcPr>
            <w:tcW w:w="1418" w:type="dxa"/>
            <w:shd w:val="clear" w:color="auto" w:fill="F2F2F2"/>
          </w:tcPr>
          <w:p>
            <w:pPr/>
            <w:r>
              <w:t xml:space="preserve">Bibliografie (wörtlich aus Quelle)</w:t>
            </w:r>
          </w:p>
        </w:tc>
        <w:tc>
          <w:tcPr>
            <w:tcW w:w="1170" w:type="dxa"/>
            <w:shd w:val="clear" w:color="auto" w:fill="F2F2F2"/>
          </w:tcPr>
          <w:p>
            <w:pPr/>
            <w:r>
              <w:t xml:space="preserve">Stichprobe</w:t>
            </w:r>
          </w:p>
        </w:tc>
        <w:tc>
          <w:tcPr>
            <w:tcW w:w="1170" w:type="dxa"/>
            <w:shd w:val="clear" w:color="auto" w:fill="F2F2F2"/>
          </w:tcPr>
          <w:p>
            <w:pPr/>
            <w:r>
              <w:t xml:space="preserve">Technologie</w:t>
            </w:r>
          </w:p>
        </w:tc>
        <w:tc>
          <w:tcPr>
            <w:tcW w:w="1170" w:type="dxa"/>
            <w:shd w:val="clear" w:color="auto" w:fill="F2F2F2"/>
          </w:tcPr>
          <w:p>
            <w:pPr/>
            <w:r>
              <w:t xml:space="preserve">Phase</w:t>
            </w:r>
          </w:p>
        </w:tc>
        <w:tc>
          <w:tcPr>
            <w:tcW w:w="1170" w:type="dxa"/>
            <w:shd w:val="clear" w:color="auto" w:fill="F2F2F2"/>
          </w:tcPr>
          <w:p>
            <w:pPr/>
            <w:r>
              <w:t xml:space="preserve">Konstrukte (Rolle)</w:t>
            </w:r>
          </w:p>
        </w:tc>
      </w:tr>
      <w:tr>
        <w:tc>
          <w:tcPr>
            <w:tcW w:w="922" w:type="dxa"/>
          </w:tcPr>
          <w:p>
            <w:pPr/>
            <w:r>
              <w:t xml:space="preserve">S1a</w:t>
            </w:r>
          </w:p>
        </w:tc>
        <w:tc>
          <w:tcPr>
            <w:tcW w:w="1170" w:type="dxa"/>
          </w:tcPr>
          <w:p>
            <w:pPr/>
            <w:r>
              <w:t xml:space="preserve">Itemblatt</w:t>
            </w:r>
          </w:p>
        </w:tc>
        <w:tc>
          <w:tcPr>
            <w:tcW w:w="1170" w:type="dxa"/>
          </w:tcPr>
          <w:p>
            <w:pPr/>
            <w:r>
              <w:t xml:space="preserve">S1b</w:t>
            </w:r>
          </w:p>
        </w:tc>
        <w:tc>
          <w:tcPr>
            <w:tcW w:w="1418" w:type="dxa"/>
          </w:tcPr>
          <w:p>
            <w:pPr/>
            <w:r>
              <w:t xml:space="preserve">Carolus, A., Koch, M. J., Straka, S., Latoschik, M. E., &amp; Wienrich, C. (2023). MAILS - Meta AI literacy scale: … Computers in Human Behavior: Artificial Humans, 1(2), 100014. https://doi.org/10.1016/j.chbah.2023.100014 (PDF-S. 3)</w:t>
            </w:r>
          </w:p>
        </w:tc>
        <w:tc>
          <w:tcPr>
            <w:tcW w:w="1170" w:type="dxa"/>
          </w:tcPr>
          <w:p>
            <w:pPr/>
            <w:r>
              <w:t xml:space="preserve">– (siehe S1b)</w:t>
            </w:r>
          </w:p>
        </w:tc>
        <w:tc>
          <w:tcPr>
            <w:tcW w:w="1170" w:type="dxa"/>
          </w:tcPr>
          <w:p>
            <w:pPr/>
            <w:r>
              <w:t xml:space="preserve">KI allgemein</w:t>
            </w:r>
          </w:p>
        </w:tc>
        <w:tc>
          <w:tcPr>
            <w:tcW w:w="1170" w:type="dxa"/>
          </w:tcPr>
          <w:p>
            <w:pPr/>
            <w:r>
              <w:t xml:space="preserve">nicht festgelegt</w:t>
            </w:r>
          </w:p>
        </w:tc>
        <w:tc>
          <w:tcPr>
            <w:tcW w:w="1170" w:type="dxa"/>
          </w:tcPr>
          <w:p>
            <w:pPr/>
            <w:r>
              <w:t xml:space="preserve">9 Subskalen (Messinstrument, keine Strukturrolle)</w:t>
            </w:r>
          </w:p>
        </w:tc>
      </w:tr>
      <w:tr>
        <w:tc>
          <w:tcPr>
            <w:tcW w:w="922" w:type="dxa"/>
          </w:tcPr>
          <w:p>
            <w:pPr/>
            <w:r>
              <w:t xml:space="preserve">S1b</w:t>
            </w:r>
          </w:p>
        </w:tc>
        <w:tc>
          <w:tcPr>
            <w:tcW w:w="1170" w:type="dxa"/>
          </w:tcPr>
          <w:p>
            <w:pPr/>
            <w:r>
              <w:t xml:space="preserve">Validierungsstudie</w:t>
            </w:r>
          </w:p>
        </w:tc>
        <w:tc>
          <w:tcPr>
            <w:tcW w:w="1170" w:type="dxa"/>
          </w:tcPr>
          <w:p>
            <w:pPr/>
            <w:r>
              <w:t xml:space="preserve">S1a</w:t>
            </w:r>
          </w:p>
        </w:tc>
        <w:tc>
          <w:tcPr>
            <w:tcW w:w="1418" w:type="dxa"/>
          </w:tcPr>
          <w:p>
            <w:pPr/>
            <w:r>
              <w:t xml:space="preserve">wie S1a; Heftangabe „1 (2023) 100014“ (S. 1); Erratum 9 (2026) 100353</w:t>
            </w:r>
          </w:p>
        </w:tc>
        <w:tc>
          <w:tcPr>
            <w:tcW w:w="1170" w:type="dxa"/>
          </w:tcPr>
          <w:p>
            <w:pPr/>
            <w:r>
              <w:t xml:space="preserve">„300 individuals with a first language of German“ (S. 5)</w:t>
            </w:r>
          </w:p>
        </w:tc>
        <w:tc>
          <w:tcPr>
            <w:tcW w:w="1170" w:type="dxa"/>
          </w:tcPr>
          <w:p>
            <w:pPr/>
            <w:r>
              <w:t xml:space="preserve">KI allgemein</w:t>
            </w:r>
          </w:p>
        </w:tc>
        <w:tc>
          <w:tcPr>
            <w:tcW w:w="1170" w:type="dxa"/>
          </w:tcPr>
          <w:p>
            <w:pPr/>
            <w:r>
              <w:t xml:space="preserve">ohne Voraussetzung: „no further requirements regarding … prior experience with or knowledge of AI“ (S. 5)</w:t>
            </w:r>
          </w:p>
        </w:tc>
        <w:tc>
          <w:tcPr>
            <w:tcW w:w="1170" w:type="dxa"/>
          </w:tcPr>
          <w:p>
            <w:pPr/>
            <w:r>
              <w:t xml:space="preserve">Use &amp; Apply, Know &amp; Understand, Detect AI, AI Ethics (→ AI Literacy); Create AI; AI Problem solving, Learning (→ AI Self-Efficacy); Persuasion literacy, Emotion regulation (→ AI Self-Competency)</w:t>
            </w:r>
          </w:p>
        </w:tc>
      </w:tr>
      <w:tr>
        <w:tc>
          <w:tcPr>
            <w:tcW w:w="922" w:type="dxa"/>
          </w:tcPr>
          <w:p>
            <w:pPr/>
            <w:r>
              <w:t xml:space="preserve">S2</w:t>
            </w:r>
          </w:p>
        </w:tc>
        <w:tc>
          <w:tcPr>
            <w:tcW w:w="1170" w:type="dxa"/>
          </w:tcPr>
          <w:p>
            <w:pPr/>
            <w:r>
              <w:t xml:space="preserve">Validierungsstudie</w:t>
            </w:r>
          </w:p>
        </w:tc>
        <w:tc>
          <w:tcPr>
            <w:tcW w:w="1170" w:type="dxa"/>
          </w:tcPr>
          <w:p>
            <w:pPr/>
            <w:r>
              <w:t xml:space="preserve">–</w:t>
            </w:r>
          </w:p>
        </w:tc>
        <w:tc>
          <w:tcPr>
            <w:tcW w:w="1418" w:type="dxa"/>
          </w:tcPr>
          <w:p>
            <w:pPr/>
            <w:r>
              <w:t xml:space="preserve">Sindermann, C., Sha, P., Zhou, M., Wernicke, J., Schmitt, H. S., Li, M., Sariyska, R., Stavrou, M., Becker, B., &amp; Montag, C. KI - Künstliche Intelligenz (2021) 35:109–118, https://doi.org/10.1007/s13218-020-00689-0 (S. 109); Heft: nicht in den Quellen enthalten</w:t>
            </w:r>
          </w:p>
        </w:tc>
        <w:tc>
          <w:tcPr>
            <w:tcW w:w="1170" w:type="dxa"/>
          </w:tcPr>
          <w:p>
            <w:pPr/>
            <w:r>
              <w:t xml:space="preserve">DE N = 461, CN N = 413, UK N = 84; überwiegend Studierende (S. 111)</w:t>
            </w:r>
          </w:p>
        </w:tc>
        <w:tc>
          <w:tcPr>
            <w:tcW w:w="1170" w:type="dxa"/>
          </w:tcPr>
          <w:p>
            <w:pPr/>
            <w:r>
              <w:t xml:space="preserve">KI allgemein (+ 5 KI-Produkte)</w:t>
            </w:r>
          </w:p>
        </w:tc>
        <w:tc>
          <w:tcPr>
            <w:tcW w:w="1170" w:type="dxa"/>
          </w:tcPr>
          <w:p>
            <w:pPr/>
            <w:r>
              <w:t xml:space="preserve">nicht festgelegt</w:t>
            </w:r>
          </w:p>
        </w:tc>
        <w:tc>
          <w:tcPr>
            <w:tcW w:w="1170" w:type="dxa"/>
          </w:tcPr>
          <w:p>
            <w:pPr/>
            <w:r>
              <w:t xml:space="preserve">ATAI Acceptance, ATAI Fear (Skalen)</w:t>
            </w:r>
          </w:p>
        </w:tc>
      </w:tr>
      <w:tr>
        <w:tc>
          <w:tcPr>
            <w:tcW w:w="922" w:type="dxa"/>
          </w:tcPr>
          <w:p>
            <w:pPr/>
            <w:r>
              <w:t xml:space="preserve">P1 + D1-F1</w:t>
            </w:r>
          </w:p>
        </w:tc>
        <w:tc>
          <w:tcPr>
            <w:tcW w:w="1170" w:type="dxa"/>
          </w:tcPr>
          <w:p>
            <w:pPr/>
            <w:r>
              <w:t xml:space="preserve">Modellstudie mit Hypothesen</w:t>
            </w:r>
          </w:p>
        </w:tc>
        <w:tc>
          <w:tcPr>
            <w:tcW w:w="1170" w:type="dxa"/>
          </w:tcPr>
          <w:p>
            <w:pPr/>
            <w:r>
              <w:t xml:space="preserve">D1 Fragebogen 1</w:t>
            </w:r>
          </w:p>
        </w:tc>
        <w:tc>
          <w:tcPr>
            <w:tcW w:w="1418" w:type="dxa"/>
          </w:tcPr>
          <w:p>
            <w:pPr/>
            <w:r>
              <w:t xml:space="preserve">Wichmann J, Gesk TS, Leyer M. JMIR Form Res 2024;8:e48600, doi: 10.2196/48600 (S. 15)</w:t>
            </w:r>
          </w:p>
        </w:tc>
        <w:tc>
          <w:tcPr>
            <w:tcW w:w="1170" w:type="dxa"/>
          </w:tcPr>
          <w:p>
            <w:pPr/>
            <w:r>
              <w:t xml:space="preserve">N = 693, Clickworker (S. 8)</w:t>
            </w:r>
          </w:p>
        </w:tc>
        <w:tc>
          <w:tcPr>
            <w:tcW w:w="1170" w:type="dxa"/>
          </w:tcPr>
          <w:p>
            <w:pPr/>
            <w:r>
              <w:t xml:space="preserve">KI-basierte Gesundheitsinformationssysteme</w:t>
            </w:r>
          </w:p>
        </w:tc>
        <w:tc>
          <w:tcPr>
            <w:tcW w:w="1170" w:type="dxa"/>
          </w:tcPr>
          <w:p>
            <w:pPr/>
            <w:r>
              <w:t xml:space="preserve">vor Nutzung (Szenarien)</w:t>
            </w:r>
          </w:p>
        </w:tc>
        <w:tc>
          <w:tcPr>
            <w:tcW w:w="1170" w:type="dxa"/>
          </w:tcPr>
          <w:p>
            <w:pPr/>
            <w:r>
              <w:t xml:space="preserve">Threat/Fear/Efficacy/Attitude/Norms/PBC → Intention</w:t>
            </w:r>
          </w:p>
        </w:tc>
      </w:tr>
      <w:tr>
        <w:tc>
          <w:tcPr>
            <w:tcW w:w="922" w:type="dxa"/>
          </w:tcPr>
          <w:p>
            <w:pPr/>
            <w:r>
              <w:t xml:space="preserve">P2 + D1-F2</w:t>
            </w:r>
          </w:p>
        </w:tc>
        <w:tc>
          <w:tcPr>
            <w:tcW w:w="1170" w:type="dxa"/>
          </w:tcPr>
          <w:p>
            <w:pPr/>
            <w:r>
              <w:t xml:space="preserve">Modellstudie mit Hypothesen</w:t>
            </w:r>
          </w:p>
        </w:tc>
        <w:tc>
          <w:tcPr>
            <w:tcW w:w="1170" w:type="dxa"/>
          </w:tcPr>
          <w:p>
            <w:pPr/>
            <w:r>
              <w:t xml:space="preserve">D1 Fragebogen 2</w:t>
            </w:r>
          </w:p>
        </w:tc>
        <w:tc>
          <w:tcPr>
            <w:tcW w:w="1418" w:type="dxa"/>
          </w:tcPr>
          <w:p>
            <w:pPr/>
            <w:r>
              <w:t xml:space="preserve">Wichmann, Behn, Degirmenci, Leyer, Barros. Proceedings of the 58th HICSS, 2025, S. 961–970, https://hdl.handle.net/10125/108952; DOI: nicht in den Quellen enthalten</w:t>
            </w:r>
          </w:p>
        </w:tc>
        <w:tc>
          <w:tcPr>
            <w:tcW w:w="1170" w:type="dxa"/>
          </w:tcPr>
          <w:p>
            <w:pPr/>
            <w:r>
              <w:t xml:space="preserve">N = 214 Konsument:innen (S. 965–966)</w:t>
            </w:r>
          </w:p>
        </w:tc>
        <w:tc>
          <w:tcPr>
            <w:tcW w:w="1170" w:type="dxa"/>
          </w:tcPr>
          <w:p>
            <w:pPr/>
            <w:r>
              <w:t xml:space="preserve">Energie-App „PowerPilot“</w:t>
            </w:r>
          </w:p>
        </w:tc>
        <w:tc>
          <w:tcPr>
            <w:tcW w:w="1170" w:type="dxa"/>
          </w:tcPr>
          <w:p>
            <w:pPr/>
            <w:r>
              <w:t xml:space="preserve">vor Nutzung (Szenario)</w:t>
            </w:r>
          </w:p>
        </w:tc>
        <w:tc>
          <w:tcPr>
            <w:tcW w:w="1170" w:type="dxa"/>
          </w:tcPr>
          <w:p>
            <w:pPr/>
            <w:r>
              <w:t xml:space="preserve">RAA/UTAUT2/SET-Prädiktoren → Intention</w:t>
            </w:r>
          </w:p>
        </w:tc>
      </w:tr>
      <w:tr>
        <w:tc>
          <w:tcPr>
            <w:tcW w:w="922" w:type="dxa"/>
          </w:tcPr>
          <w:p>
            <w:pPr/>
            <w:r>
              <w:t xml:space="preserve">P3 + D1-F3</w:t>
            </w:r>
          </w:p>
        </w:tc>
        <w:tc>
          <w:tcPr>
            <w:tcW w:w="1170" w:type="dxa"/>
          </w:tcPr>
          <w:p>
            <w:pPr/>
            <w:r>
              <w:t xml:space="preserve">Modellstudie mit Hypothesen</w:t>
            </w:r>
          </w:p>
        </w:tc>
        <w:tc>
          <w:tcPr>
            <w:tcW w:w="1170" w:type="dxa"/>
          </w:tcPr>
          <w:p>
            <w:pPr/>
            <w:r>
              <w:t xml:space="preserve">D1 Fragebogen 3</w:t>
            </w:r>
          </w:p>
        </w:tc>
        <w:tc>
          <w:tcPr>
            <w:tcW w:w="1418" w:type="dxa"/>
          </w:tcPr>
          <w:p>
            <w:pPr/>
            <w:r>
              <w:t xml:space="preserve">Paetow, T., Wichmann, J., Leyer, M. Proceedings of the 59th HICSS, 2026, S. 319–328, https://hdl.handle.net/10125/111430</w:t>
            </w:r>
          </w:p>
        </w:tc>
        <w:tc>
          <w:tcPr>
            <w:tcW w:w="1170" w:type="dxa"/>
          </w:tcPr>
          <w:p>
            <w:pPr/>
            <w:r>
              <w:t xml:space="preserve">„employed participants in Germany (n = 159)“ (S. 319)</w:t>
            </w:r>
          </w:p>
        </w:tc>
        <w:tc>
          <w:tcPr>
            <w:tcW w:w="1170" w:type="dxa"/>
          </w:tcPr>
          <w:p>
            <w:pPr/>
            <w:r>
              <w:t xml:space="preserve">Virtual Reality</w:t>
            </w:r>
          </w:p>
        </w:tc>
        <w:tc>
          <w:tcPr>
            <w:tcW w:w="1170" w:type="dxa"/>
          </w:tcPr>
          <w:p>
            <w:pPr/>
            <w:r>
              <w:t xml:space="preserve">vor Nutzung</w:t>
            </w:r>
          </w:p>
        </w:tc>
        <w:tc>
          <w:tcPr>
            <w:tcW w:w="1170" w:type="dxa"/>
          </w:tcPr>
          <w:p>
            <w:pPr/>
            <w:r>
              <w:t xml:space="preserve">TC (Filter/Prädiktor), TeC (Prädiktor), TTF (Einzelindikator), BI, PERF (Kriterien)</w:t>
            </w:r>
          </w:p>
        </w:tc>
      </w:tr>
      <w:tr>
        <w:tc>
          <w:tcPr>
            <w:tcW w:w="922" w:type="dxa"/>
          </w:tcPr>
          <w:p>
            <w:pPr/>
            <w:r>
              <w:t xml:space="preserve">P4 + D1-F4</w:t>
            </w:r>
          </w:p>
        </w:tc>
        <w:tc>
          <w:tcPr>
            <w:tcW w:w="1170" w:type="dxa"/>
          </w:tcPr>
          <w:p>
            <w:pPr/>
            <w:r>
              <w:t xml:space="preserve">Modellstudie mit Hypothesen</w:t>
            </w:r>
          </w:p>
        </w:tc>
        <w:tc>
          <w:tcPr>
            <w:tcW w:w="1170" w:type="dxa"/>
          </w:tcPr>
          <w:p>
            <w:pPr/>
            <w:r>
              <w:t xml:space="preserve">D1 Fragebogen 4</w:t>
            </w:r>
          </w:p>
        </w:tc>
        <w:tc>
          <w:tcPr>
            <w:tcW w:w="1418" w:type="dxa"/>
          </w:tcPr>
          <w:p>
            <w:pPr/>
            <w:r>
              <w:t xml:space="preserve">Do Khac, L. T., Leyer, M., Wichmann, J., &amp; Richter, A. Enterprise Information Systems, DOI: 10.1080/17517575.2025.2481557 (S. 1); Jahrgang/Heft/Seiten: nicht in den Quellen enthalten</w:t>
            </w:r>
          </w:p>
        </w:tc>
        <w:tc>
          <w:tcPr>
            <w:tcW w:w="1170" w:type="dxa"/>
          </w:tcPr>
          <w:p>
            <w:pPr/>
            <w:r>
              <w:t xml:space="preserve">500 „managerial decision-makers“ (S. 8)</w:t>
            </w:r>
          </w:p>
        </w:tc>
        <w:tc>
          <w:tcPr>
            <w:tcW w:w="1170" w:type="dxa"/>
          </w:tcPr>
          <w:p>
            <w:pPr/>
            <w:r>
              <w:t xml:space="preserve">ChatGPT</w:t>
            </w:r>
          </w:p>
        </w:tc>
        <w:tc>
          <w:tcPr>
            <w:tcW w:w="1170" w:type="dxa"/>
          </w:tcPr>
          <w:p>
            <w:pPr/>
            <w:r>
              <w:t xml:space="preserve">gemischt: „69,6% (n = 348) had experience“ (S. 9)</w:t>
            </w:r>
          </w:p>
        </w:tc>
        <w:tc>
          <w:tcPr>
            <w:tcW w:w="1170" w:type="dxa"/>
          </w:tcPr>
          <w:p>
            <w:pPr/>
            <w:r>
              <w:t xml:space="preserve">Ability, Benevolence, Integrity → Trust → Intention</w:t>
            </w:r>
          </w:p>
        </w:tc>
      </w:tr>
      <w:tr>
        <w:tc>
          <w:tcPr>
            <w:tcW w:w="922" w:type="dxa"/>
          </w:tcPr>
          <w:p>
            <w:pPr/>
            <w:r>
              <w:t xml:space="preserve">P5 + D1-F5</w:t>
            </w:r>
          </w:p>
        </w:tc>
        <w:tc>
          <w:tcPr>
            <w:tcW w:w="1170" w:type="dxa"/>
          </w:tcPr>
          <w:p>
            <w:pPr/>
            <w:r>
              <w:t xml:space="preserve">Modellstudie mit Hypothesen</w:t>
            </w:r>
          </w:p>
        </w:tc>
        <w:tc>
          <w:tcPr>
            <w:tcW w:w="1170" w:type="dxa"/>
          </w:tcPr>
          <w:p>
            <w:pPr/>
            <w:r>
              <w:t xml:space="preserve">D1 Fragebogen 5</w:t>
            </w:r>
          </w:p>
        </w:tc>
        <w:tc>
          <w:tcPr>
            <w:tcW w:w="1418" w:type="dxa"/>
          </w:tcPr>
          <w:p>
            <w:pPr/>
            <w:r>
              <w:t xml:space="preserve">Wichmann, J., Gesk, T. S., Leyer, M. Information Technology and Management (2026) 27:173–185, https://doi.org/10.1007/s10799-025-00453-6</w:t>
            </w:r>
          </w:p>
        </w:tc>
        <w:tc>
          <w:tcPr>
            <w:tcW w:w="1170" w:type="dxa"/>
          </w:tcPr>
          <w:p>
            <w:pPr/>
            <w:r>
              <w:t xml:space="preserve">195 Beschäftigte ohne Führungsverantwortung (S. 178)</w:t>
            </w:r>
          </w:p>
        </w:tc>
        <w:tc>
          <w:tcPr>
            <w:tcW w:w="1170" w:type="dxa"/>
          </w:tcPr>
          <w:p>
            <w:pPr/>
            <w:r>
              <w:t xml:space="preserve">virtuelle Meetings</w:t>
            </w:r>
          </w:p>
        </w:tc>
        <w:tc>
          <w:tcPr>
            <w:tcW w:w="1170" w:type="dxa"/>
          </w:tcPr>
          <w:p>
            <w:pPr/>
            <w:r>
              <w:t xml:space="preserve">während Nutzung</w:t>
            </w:r>
          </w:p>
        </w:tc>
        <w:tc>
          <w:tcPr>
            <w:tcW w:w="1170" w:type="dxa"/>
          </w:tcPr>
          <w:p>
            <w:pPr/>
            <w:r>
              <w:t xml:space="preserve">SEG, SCVM, PTAVM → Work Engagement</w:t>
            </w:r>
          </w:p>
        </w:tc>
      </w:tr>
    </w:tbl>
    <w:p>
      <w:pPr/>
      <w:r>
        <w:t xml:space="preserve">D1 ist ein Itemkatalog ohne eigene bibliografische Angaben.</w:t>
      </w:r>
    </w:p>
    <w:p>
      <w:pPr>
        <w:pStyle w:val="Heading3"/>
      </w:pPr>
      <w:r>
        <w:t xml:space="preserve">1a-II Bestandteile</w:t>
      </w:r>
    </w:p>
    <w:tbl>
      <w:tblPr>
        <w:tblStyle w:val="TableGrid"/>
        <w:tblW w:w="0" w:type="auto"/>
        <w:tblLayout w:type="fixed"/>
        <w:tblLook w:val="04A0" w:firstRow="1" w:lastRow="0" w:firstColumn="0" w:lastColumn="0" w:noHBand="0" w:noVBand="1"/>
      </w:tblPr>
      <w:tblGrid>
        <w:gridCol w:w="1421"/>
        <w:gridCol w:w="1418"/>
        <w:gridCol w:w="1560"/>
        <w:gridCol w:w="1683"/>
        <w:gridCol w:w="1592"/>
        <w:gridCol w:w="1686"/>
      </w:tblGrid>
      <w:tr>
        <w:trPr>
          <w:tblHeader/>
        </w:trPr>
        <w:tc>
          <w:tcPr>
            <w:tcW w:w="1421" w:type="dxa"/>
            <w:shd w:val="clear" w:color="auto" w:fill="F2F2F2"/>
          </w:tcPr>
          <w:p>
            <w:pPr/>
            <w:r>
              <w:t xml:space="preserve">Kürzel</w:t>
            </w:r>
          </w:p>
        </w:tc>
        <w:tc>
          <w:tcPr>
            <w:tcW w:w="1418" w:type="dxa"/>
            <w:shd w:val="clear" w:color="auto" w:fill="F2F2F2"/>
          </w:tcPr>
          <w:p>
            <w:pPr/>
            <w:r>
              <w:t xml:space="preserve">Items wörtlich</w:t>
            </w:r>
          </w:p>
        </w:tc>
        <w:tc>
          <w:tcPr>
            <w:tcW w:w="1560" w:type="dxa"/>
            <w:shd w:val="clear" w:color="auto" w:fill="F2F2F2"/>
          </w:tcPr>
          <w:p>
            <w:pPr/>
            <w:r>
              <w:t xml:space="preserve">Antwortskala</w:t>
            </w:r>
          </w:p>
        </w:tc>
        <w:tc>
          <w:tcPr>
            <w:tcW w:w="1683" w:type="dxa"/>
            <w:shd w:val="clear" w:color="auto" w:fill="F2F2F2"/>
          </w:tcPr>
          <w:p>
            <w:pPr/>
            <w:r>
              <w:t xml:space="preserve">Kennwerte</w:t>
            </w:r>
          </w:p>
        </w:tc>
        <w:tc>
          <w:tcPr>
            <w:tcW w:w="1592" w:type="dxa"/>
            <w:shd w:val="clear" w:color="auto" w:fill="F2F2F2"/>
          </w:tcPr>
          <w:p>
            <w:pPr/>
            <w:r>
              <w:t xml:space="preserve">geprüfte Hypothesen</w:t>
            </w:r>
          </w:p>
        </w:tc>
        <w:tc>
          <w:tcPr>
            <w:tcW w:w="1686" w:type="dxa"/>
            <w:shd w:val="clear" w:color="auto" w:fill="F2F2F2"/>
          </w:tcPr>
          <w:p>
            <w:pPr/>
            <w:r>
              <w:t xml:space="preserve">Messverfahren</w:t>
            </w:r>
          </w:p>
        </w:tc>
      </w:tr>
      <w:tr>
        <w:tc>
          <w:tcPr>
            <w:tcW w:w="1421" w:type="dxa"/>
          </w:tcPr>
          <w:p>
            <w:pPr/>
            <w:r>
              <w:t xml:space="preserve">S1a/S1b</w:t>
            </w:r>
          </w:p>
        </w:tc>
        <w:tc>
          <w:tcPr>
            <w:tcW w:w="1418" w:type="dxa"/>
          </w:tcPr>
          <w:p>
            <w:pPr/>
            <w:r>
              <w:t xml:space="preserve">ja, EN (S1a PDF-S. 1–3; S1b S. 9); DE: nein</w:t>
            </w:r>
          </w:p>
        </w:tc>
        <w:tc>
          <w:tcPr>
            <w:tcW w:w="1560" w:type="dxa"/>
          </w:tcPr>
          <w:p>
            <w:pPr/>
            <w:r>
              <w:t xml:space="preserve">ja, 0–10 (S1a PDF-S. 1; S1b S. 6)</w:t>
            </w:r>
          </w:p>
        </w:tc>
        <w:tc>
          <w:tcPr>
            <w:tcW w:w="1683" w:type="dxa"/>
          </w:tcPr>
          <w:p>
            <w:pPr/>
            <w:r>
              <w:t xml:space="preserve">ja, α je Subskala (S1b S. 6)</w:t>
            </w:r>
          </w:p>
        </w:tc>
        <w:tc>
          <w:tcPr>
            <w:tcW w:w="1592" w:type="dxa"/>
          </w:tcPr>
          <w:p>
            <w:pPr/>
            <w:r>
              <w:t xml:space="preserve">nein</w:t>
            </w:r>
          </w:p>
        </w:tc>
        <w:tc>
          <w:tcPr>
            <w:tcW w:w="1686" w:type="dxa"/>
          </w:tcPr>
          <w:p>
            <w:pPr/>
            <w:r>
              <w:t xml:space="preserve">ja: Instruktion (S1a PDF-S. 1), Mittelwertregel (S1a PDF-S. 3)</w:t>
            </w:r>
          </w:p>
        </w:tc>
      </w:tr>
      <w:tr>
        <w:tc>
          <w:tcPr>
            <w:tcW w:w="1421" w:type="dxa"/>
          </w:tcPr>
          <w:p>
            <w:pPr/>
            <w:r>
              <w:t xml:space="preserve">S2</w:t>
            </w:r>
          </w:p>
        </w:tc>
        <w:tc>
          <w:tcPr>
            <w:tcW w:w="1418" w:type="dxa"/>
          </w:tcPr>
          <w:p>
            <w:pPr/>
            <w:r>
              <w:t xml:space="preserve">ja, DE/EN/CN (Tab. 1, S. 112)</w:t>
            </w:r>
          </w:p>
        </w:tc>
        <w:tc>
          <w:tcPr>
            <w:tcW w:w="1560" w:type="dxa"/>
          </w:tcPr>
          <w:p>
            <w:pPr/>
            <w:r>
              <w:t xml:space="preserve">ja, 0–10 (S. 111–112)</w:t>
            </w:r>
          </w:p>
        </w:tc>
        <w:tc>
          <w:tcPr>
            <w:tcW w:w="1683" w:type="dxa"/>
          </w:tcPr>
          <w:p>
            <w:pPr/>
            <w:r>
              <w:t xml:space="preserve">ja: Ladungen (Tab. 2, S. 113), α (S. 114)</w:t>
            </w:r>
          </w:p>
        </w:tc>
        <w:tc>
          <w:tcPr>
            <w:tcW w:w="1592" w:type="dxa"/>
          </w:tcPr>
          <w:p>
            <w:pPr/>
            <w:r>
              <w:t xml:space="preserve">Validierungserwartung ja (S. 111), Kriteriumsitems nein</w:t>
            </w:r>
          </w:p>
        </w:tc>
        <w:tc>
          <w:tcPr>
            <w:tcW w:w="1686" w:type="dxa"/>
          </w:tcPr>
          <w:p>
            <w:pPr/>
            <w:r>
              <w:t xml:space="preserve">ja: Reihenfolge (S. 112)</w:t>
            </w:r>
          </w:p>
        </w:tc>
      </w:tr>
      <w:tr>
        <w:tc>
          <w:tcPr>
            <w:tcW w:w="1421" w:type="dxa"/>
          </w:tcPr>
          <w:p>
            <w:pPr/>
            <w:r>
              <w:t xml:space="preserve">P1 + D1-F1</w:t>
            </w:r>
          </w:p>
        </w:tc>
        <w:tc>
          <w:tcPr>
            <w:tcW w:w="1418" w:type="dxa"/>
          </w:tcPr>
          <w:p>
            <w:pPr/>
            <w:r>
              <w:t xml:space="preserve">ja, EN (D1-F1)</w:t>
            </w:r>
          </w:p>
        </w:tc>
        <w:tc>
          <w:tcPr>
            <w:tcW w:w="1560" w:type="dxa"/>
          </w:tcPr>
          <w:p>
            <w:pPr/>
            <w:r>
              <w:t xml:space="preserve">ja, 7-stufig (S. 7)</w:t>
            </w:r>
          </w:p>
        </w:tc>
        <w:tc>
          <w:tcPr>
            <w:tcW w:w="1683" w:type="dxa"/>
          </w:tcPr>
          <w:p>
            <w:pPr/>
            <w:r>
              <w:t xml:space="preserve">nein (nur „surpassed the respective thresholds“, S. 8)</w:t>
            </w:r>
          </w:p>
        </w:tc>
        <w:tc>
          <w:tcPr>
            <w:tcW w:w="1592" w:type="dxa"/>
          </w:tcPr>
          <w:p>
            <w:pPr/>
            <w:r>
              <w:t xml:space="preserve">ja, H1–H10 (S. 6–7); Ergebnisse im Multimedia-Anhang: nicht in den Quellen enthalten</w:t>
            </w:r>
          </w:p>
        </w:tc>
        <w:tc>
          <w:tcPr>
            <w:tcW w:w="1686" w:type="dxa"/>
          </w:tcPr>
          <w:p>
            <w:pPr/>
            <w:r>
              <w:t xml:space="preserve">ja: Szenarien (nicht enthalten)</w:t>
            </w:r>
          </w:p>
        </w:tc>
      </w:tr>
      <w:tr>
        <w:tc>
          <w:tcPr>
            <w:tcW w:w="1421" w:type="dxa"/>
          </w:tcPr>
          <w:p>
            <w:pPr/>
            <w:r>
              <w:t xml:space="preserve">P2 + D1-F2</w:t>
            </w:r>
          </w:p>
        </w:tc>
        <w:tc>
          <w:tcPr>
            <w:tcW w:w="1418" w:type="dxa"/>
          </w:tcPr>
          <w:p>
            <w:pPr/>
            <w:r>
              <w:t xml:space="preserve">ja, EN (D1-F2)</w:t>
            </w:r>
          </w:p>
        </w:tc>
        <w:tc>
          <w:tcPr>
            <w:tcW w:w="1560" w:type="dxa"/>
          </w:tcPr>
          <w:p>
            <w:pPr/>
            <w:r>
              <w:t xml:space="preserve">ja, 7-stufig (S. 965)</w:t>
            </w:r>
          </w:p>
        </w:tc>
        <w:tc>
          <w:tcPr>
            <w:tcW w:w="1683" w:type="dxa"/>
          </w:tcPr>
          <w:p>
            <w:pPr/>
            <w:r>
              <w:t xml:space="preserve">nein (Anhang OSF)</w:t>
            </w:r>
          </w:p>
        </w:tc>
        <w:tc>
          <w:tcPr>
            <w:tcW w:w="1592" w:type="dxa"/>
          </w:tcPr>
          <w:p>
            <w:pPr/>
            <w:r>
              <w:t xml:space="preserve">ja, β (S. 966–967)</w:t>
            </w:r>
          </w:p>
        </w:tc>
        <w:tc>
          <w:tcPr>
            <w:tcW w:w="1686" w:type="dxa"/>
          </w:tcPr>
          <w:p>
            <w:pPr/>
            <w:r>
              <w:t xml:space="preserve">ja: Szenario (Anhang, nicht enthalten)</w:t>
            </w:r>
          </w:p>
        </w:tc>
      </w:tr>
      <w:tr>
        <w:tc>
          <w:tcPr>
            <w:tcW w:w="1421" w:type="dxa"/>
          </w:tcPr>
          <w:p>
            <w:pPr/>
            <w:r>
              <w:t xml:space="preserve">P3 + D1-F3</w:t>
            </w:r>
          </w:p>
        </w:tc>
        <w:tc>
          <w:tcPr>
            <w:tcW w:w="1418" w:type="dxa"/>
          </w:tcPr>
          <w:p>
            <w:pPr/>
            <w:r>
              <w:t xml:space="preserve">ja, DE/EN (D1-F3)</w:t>
            </w:r>
          </w:p>
        </w:tc>
        <w:tc>
          <w:tcPr>
            <w:tcW w:w="1560" w:type="dxa"/>
          </w:tcPr>
          <w:p>
            <w:pPr/>
            <w:r>
              <w:t xml:space="preserve">ja: TC 6-stufig, übrige 5-stufig (S. 322)</w:t>
            </w:r>
          </w:p>
        </w:tc>
        <w:tc>
          <w:tcPr>
            <w:tcW w:w="1683" w:type="dxa"/>
          </w:tcPr>
          <w:p>
            <w:pPr/>
            <w:r>
              <w:t xml:space="preserve">nur Schwellenangaben, keine Itemkennwerte (S. 323)</w:t>
            </w:r>
          </w:p>
        </w:tc>
        <w:tc>
          <w:tcPr>
            <w:tcW w:w="1592" w:type="dxa"/>
          </w:tcPr>
          <w:p>
            <w:pPr/>
            <w:r>
              <w:t xml:space="preserve">ja, H1/H2 (S. 322, 324)</w:t>
            </w:r>
          </w:p>
        </w:tc>
        <w:tc>
          <w:tcPr>
            <w:tcW w:w="1686" w:type="dxa"/>
          </w:tcPr>
          <w:p>
            <w:pPr/>
            <w:r>
              <w:t xml:space="preserve">ja: Filter (S. 322), gegliederte Beschreibung (D1-F3), Itemstamm</w:t>
            </w:r>
          </w:p>
        </w:tc>
      </w:tr>
      <w:tr>
        <w:tc>
          <w:tcPr>
            <w:tcW w:w="1421" w:type="dxa"/>
          </w:tcPr>
          <w:p>
            <w:pPr/>
            <w:r>
              <w:t xml:space="preserve">P4 + D1-F4</w:t>
            </w:r>
          </w:p>
        </w:tc>
        <w:tc>
          <w:tcPr>
            <w:tcW w:w="1418" w:type="dxa"/>
          </w:tcPr>
          <w:p>
            <w:pPr/>
            <w:r>
              <w:t xml:space="preserve">ja, DE/EN (D1-F4)</w:t>
            </w:r>
          </w:p>
        </w:tc>
        <w:tc>
          <w:tcPr>
            <w:tcW w:w="1560" w:type="dxa"/>
          </w:tcPr>
          <w:p>
            <w:pPr/>
            <w:r>
              <w:rPr>
                <w:b/>
              </w:rPr>
              <w:t xml:space="preserve">nein</w:t>
            </w:r>
            <w:r>
              <w:t xml:space="preserve"> (weder P4 noch D1-F4)</w:t>
            </w:r>
          </w:p>
        </w:tc>
        <w:tc>
          <w:tcPr>
            <w:tcW w:w="1683" w:type="dxa"/>
          </w:tcPr>
          <w:p>
            <w:pPr/>
            <w:r>
              <w:t xml:space="preserve">nein (Anhang nicht enthalten)</w:t>
            </w:r>
          </w:p>
        </w:tc>
        <w:tc>
          <w:tcPr>
            <w:tcW w:w="1592" w:type="dxa"/>
          </w:tcPr>
          <w:p>
            <w:pPr/>
            <w:r>
              <w:t xml:space="preserve">ja, H1–H4 (S. 6–7, 11)</w:t>
            </w:r>
          </w:p>
        </w:tc>
        <w:tc>
          <w:tcPr>
            <w:tcW w:w="1686" w:type="dxa"/>
          </w:tcPr>
          <w:p>
            <w:pPr/>
            <w:r>
              <w:t xml:space="preserve">Randomisierung (S. 8)</w:t>
            </w:r>
          </w:p>
        </w:tc>
      </w:tr>
      <w:tr>
        <w:tc>
          <w:tcPr>
            <w:tcW w:w="1421" w:type="dxa"/>
          </w:tcPr>
          <w:p>
            <w:pPr/>
            <w:r>
              <w:t xml:space="preserve">P5 + D1-F5</w:t>
            </w:r>
          </w:p>
        </w:tc>
        <w:tc>
          <w:tcPr>
            <w:tcW w:w="1418" w:type="dxa"/>
          </w:tcPr>
          <w:p>
            <w:pPr/>
            <w:r>
              <w:t xml:space="preserve">ja, EN (S. 182; D1-F5)</w:t>
            </w:r>
          </w:p>
        </w:tc>
        <w:tc>
          <w:tcPr>
            <w:tcW w:w="1560" w:type="dxa"/>
          </w:tcPr>
          <w:p>
            <w:pPr/>
            <w:r>
              <w:t xml:space="preserve">ja, 5-stufig (S. 177)</w:t>
            </w:r>
          </w:p>
        </w:tc>
        <w:tc>
          <w:tcPr>
            <w:tcW w:w="1683" w:type="dxa"/>
          </w:tcPr>
          <w:p>
            <w:pPr/>
            <w:r>
              <w:t xml:space="preserve">ja (A-2 bis A-4, S. 182)</w:t>
            </w:r>
          </w:p>
        </w:tc>
        <w:tc>
          <w:tcPr>
            <w:tcW w:w="1592" w:type="dxa"/>
          </w:tcPr>
          <w:p>
            <w:pPr/>
            <w:r>
              <w:t xml:space="preserve">ja (S. 179)</w:t>
            </w:r>
          </w:p>
        </w:tc>
        <w:tc>
          <w:tcPr>
            <w:tcW w:w="1686" w:type="dxa"/>
          </w:tcPr>
          <w:p>
            <w:pPr/>
            <w:r>
              <w:t xml:space="preserve">–</w:t>
            </w:r>
          </w:p>
        </w:tc>
      </w:tr>
    </w:tbl>
    <w:p>
      <w:pPr>
        <w:pStyle w:val="Heading2"/>
      </w:pPr>
      <w:r>
        <w:t xml:space="preserve">Teil I – 1b Auswahl</w:t>
      </w:r>
    </w:p>
    <w:p>
      <w:pPr/>
      <w:r>
        <w:rPr>
          <w:b/>
        </w:rPr>
        <w:t xml:space="preserve">Vorbemerkung:</w:t>
      </w:r>
      <w:r>
        <w:t xml:space="preserve"> Die Fall-Parameter enthalten weder eine Arbeitsdefinition von KI-Readiness noch Readiness-Dimensionen. Daher gelten vorläufige Prüfdimensionen, ohne KI-Readiness zu definieren [eigene Bewertung]:</w:t>
      </w:r>
    </w:p>
    <w:p>
      <w:pPr>
        <w:pStyle w:val="ListParagraph"/>
        <w:numPr>
          <w:ilvl w:val="0"/>
          <w:numId w:val="3"/>
        </w:numPr>
      </w:pPr>
      <w:r>
        <w:rPr>
          <w:b/>
        </w:rPr>
        <w:t xml:space="preserve">D1</w:t>
      </w:r>
      <w:r>
        <w:t xml:space="preserve"> KI-bezogene Kompetenz (Wissen und Anwendung)</w:t>
      </w:r>
    </w:p>
    <w:p>
      <w:pPr>
        <w:pStyle w:val="ListParagraph"/>
        <w:numPr>
          <w:ilvl w:val="0"/>
          <w:numId w:val="3"/>
        </w:numPr>
      </w:pPr>
      <w:r>
        <w:rPr>
          <w:b/>
        </w:rPr>
        <w:t xml:space="preserve">D2</w:t>
      </w:r>
      <w:r>
        <w:t xml:space="preserve"> KI-bezogene Selbstwirksamkeit</w:t>
      </w:r>
    </w:p>
    <w:p>
      <w:pPr>
        <w:pStyle w:val="ListParagraph"/>
        <w:numPr>
          <w:ilvl w:val="0"/>
          <w:numId w:val="3"/>
        </w:numPr>
      </w:pPr>
      <w:r>
        <w:rPr>
          <w:b/>
        </w:rPr>
        <w:t xml:space="preserve">D3</w:t>
      </w:r>
      <w:r>
        <w:t xml:space="preserve"> Einstellung gegenüber KI</w:t>
      </w:r>
    </w:p>
    <w:p>
      <w:pPr>
        <w:pStyle w:val="ListParagraph"/>
        <w:numPr>
          <w:ilvl w:val="0"/>
          <w:numId w:val="3"/>
        </w:numPr>
      </w:pPr>
      <w:r>
        <w:rPr>
          <w:b/>
        </w:rPr>
        <w:t xml:space="preserve">D4</w:t>
      </w:r>
      <w:r>
        <w:t xml:space="preserve"> Aufgaben-Technologie-Passung und Nutzungsabsicht (Copilot)</w:t>
      </w:r>
    </w:p>
    <w:p>
      <w:pPr>
        <w:pStyle w:val="ListParagraph"/>
        <w:numPr>
          <w:ilvl w:val="0"/>
          <w:numId w:val="3"/>
        </w:numPr>
      </w:pPr>
      <w:r>
        <w:rPr>
          <w:b/>
        </w:rPr>
        <w:t xml:space="preserve">D5</w:t>
      </w:r>
      <w:r>
        <w:t xml:space="preserve"> Vertrauen in die Technologie</w:t>
      </w:r>
    </w:p>
    <w:tbl>
      <w:tblPr>
        <w:tblStyle w:val="TableGrid"/>
        <w:tblW w:w="0" w:type="auto"/>
        <w:tblLayout w:type="fixed"/>
        <w:tblLook w:val="04A0" w:firstRow="1" w:lastRow="0" w:firstColumn="0" w:lastColumn="0" w:noHBand="0" w:noVBand="1"/>
      </w:tblPr>
      <w:tblGrid>
        <w:gridCol w:w="909"/>
        <w:gridCol w:w="1444"/>
        <w:gridCol w:w="1560"/>
        <w:gridCol w:w="1107"/>
        <w:gridCol w:w="2608"/>
        <w:gridCol w:w="1732"/>
      </w:tblGrid>
      <w:tr>
        <w:trPr>
          <w:tblHeader/>
        </w:trPr>
        <w:tc>
          <w:tcPr>
            <w:tcW w:w="909" w:type="dxa"/>
            <w:shd w:val="clear" w:color="auto" w:fill="F2F2F2"/>
          </w:tcPr>
          <w:p>
            <w:pPr/>
            <w:r>
              <w:t xml:space="preserve">Quelle</w:t>
            </w:r>
          </w:p>
        </w:tc>
        <w:tc>
          <w:tcPr>
            <w:tcW w:w="1444" w:type="dxa"/>
            <w:shd w:val="clear" w:color="auto" w:fill="F2F2F2"/>
          </w:tcPr>
          <w:p>
            <w:pPr/>
            <w:r>
              <w:t xml:space="preserve">Status</w:t>
            </w:r>
          </w:p>
        </w:tc>
        <w:tc>
          <w:tcPr>
            <w:tcW w:w="1560" w:type="dxa"/>
            <w:shd w:val="clear" w:color="auto" w:fill="F2F2F2"/>
          </w:tcPr>
          <w:p>
            <w:pPr/>
            <w:r>
              <w:t xml:space="preserve">Dimension(en)</w:t>
            </w:r>
          </w:p>
        </w:tc>
        <w:tc>
          <w:tcPr>
            <w:tcW w:w="1107" w:type="dxa"/>
            <w:shd w:val="clear" w:color="auto" w:fill="F2F2F2"/>
          </w:tcPr>
          <w:p>
            <w:pPr/>
            <w:r>
              <w:t xml:space="preserve">Grund</w:t>
            </w:r>
          </w:p>
        </w:tc>
        <w:tc>
          <w:tcPr>
            <w:tcW w:w="2608" w:type="dxa"/>
            <w:shd w:val="clear" w:color="auto" w:fill="F2F2F2"/>
          </w:tcPr>
          <w:p>
            <w:pPr/>
            <w:r>
              <w:t xml:space="preserve">Belegzitat</w:t>
            </w:r>
          </w:p>
        </w:tc>
        <w:tc>
          <w:tcPr>
            <w:tcW w:w="1732" w:type="dxa"/>
            <w:shd w:val="clear" w:color="auto" w:fill="F2F2F2"/>
          </w:tcPr>
          <w:p>
            <w:pPr/>
            <w:r>
              <w:t xml:space="preserve">Begründung [eigene Bewertung]</w:t>
            </w:r>
          </w:p>
        </w:tc>
      </w:tr>
      <w:tr>
        <w:tc>
          <w:tcPr>
            <w:tcW w:w="909" w:type="dxa"/>
          </w:tcPr>
          <w:p>
            <w:pPr/>
            <w:r>
              <w:t xml:space="preserve">S1 (S1a + S1b)</w:t>
            </w:r>
          </w:p>
        </w:tc>
        <w:tc>
          <w:tcPr>
            <w:tcW w:w="1444" w:type="dxa"/>
          </w:tcPr>
          <w:p>
            <w:pPr/>
            <w:r>
              <w:t xml:space="preserve">ausgewählt</w:t>
            </w:r>
          </w:p>
        </w:tc>
        <w:tc>
          <w:tcPr>
            <w:tcW w:w="1560" w:type="dxa"/>
          </w:tcPr>
          <w:p>
            <w:pPr/>
            <w:r>
              <w:t xml:space="preserve">D1, D2</w:t>
            </w:r>
          </w:p>
        </w:tc>
        <w:tc>
          <w:tcPr>
            <w:tcW w:w="1107" w:type="dxa"/>
          </w:tcPr>
          <w:p>
            <w:pPr/>
            <w:r>
              <w:t xml:space="preserve">Passung</w:t>
            </w:r>
          </w:p>
        </w:tc>
        <w:tc>
          <w:tcPr>
            <w:tcW w:w="2608" w:type="dxa"/>
          </w:tcPr>
          <w:p>
            <w:pPr/>
            <w:r>
              <w:t xml:space="preserve">„It is essential to develop suitable means to measure the AI literacy of individuals who are required to work with AI.“ (S1b S. 2)</w:t>
            </w:r>
          </w:p>
        </w:tc>
        <w:tc>
          <w:tcPr>
            <w:tcW w:w="1732" w:type="dxa"/>
          </w:tcPr>
          <w:p>
            <w:pPr/>
            <w:r>
              <w:t xml:space="preserve">Ein validiertes, modular einsetzbares Kompetenzinstrument ohne Erfahrungsvoraussetzung passt zur Phase vor der Einführung.</w:t>
            </w:r>
          </w:p>
        </w:tc>
      </w:tr>
      <w:tr>
        <w:tc>
          <w:tcPr>
            <w:tcW w:w="909" w:type="dxa"/>
          </w:tcPr>
          <w:p>
            <w:pPr/>
            <w:r>
              <w:t xml:space="preserve">S2</w:t>
            </w:r>
          </w:p>
        </w:tc>
        <w:tc>
          <w:tcPr>
            <w:tcW w:w="1444" w:type="dxa"/>
          </w:tcPr>
          <w:p>
            <w:pPr/>
            <w:r>
              <w:t xml:space="preserve">ausgewählt</w:t>
            </w:r>
          </w:p>
        </w:tc>
        <w:tc>
          <w:tcPr>
            <w:tcW w:w="1560" w:type="dxa"/>
          </w:tcPr>
          <w:p>
            <w:pPr/>
            <w:r>
              <w:t xml:space="preserve">D3</w:t>
            </w:r>
          </w:p>
        </w:tc>
        <w:tc>
          <w:tcPr>
            <w:tcW w:w="1107" w:type="dxa"/>
          </w:tcPr>
          <w:p>
            <w:pPr/>
            <w:r>
              <w:t xml:space="preserve">Passung</w:t>
            </w:r>
          </w:p>
        </w:tc>
        <w:tc>
          <w:tcPr>
            <w:tcW w:w="2608" w:type="dxa"/>
          </w:tcPr>
          <w:p>
            <w:pPr/>
            <w:r>
              <w:t xml:space="preserve">„In conclusion we introduce a short, reliable, and valid measure on the attitude towards artificial intelligence in German, Chinese, and English language.“ (S. 109)</w:t>
            </w:r>
          </w:p>
        </w:tc>
        <w:tc>
          <w:tcPr>
            <w:tcW w:w="1732" w:type="dxa"/>
          </w:tcPr>
          <w:p>
            <w:pPr/>
            <w:r>
              <w:t xml:space="preserve">Validierte deutsche Originalfassung zur allgemeinen KI-Einstellung.</w:t>
            </w:r>
          </w:p>
        </w:tc>
      </w:tr>
      <w:tr>
        <w:tc>
          <w:tcPr>
            <w:tcW w:w="909" w:type="dxa"/>
          </w:tcPr>
          <w:p>
            <w:pPr/>
            <w:r>
              <w:t xml:space="preserve">P3</w:t>
            </w:r>
          </w:p>
        </w:tc>
        <w:tc>
          <w:tcPr>
            <w:tcW w:w="1444" w:type="dxa"/>
          </w:tcPr>
          <w:p>
            <w:pPr/>
            <w:r>
              <w:t xml:space="preserve">ausgewählt</w:t>
            </w:r>
          </w:p>
        </w:tc>
        <w:tc>
          <w:tcPr>
            <w:tcW w:w="1560" w:type="dxa"/>
          </w:tcPr>
          <w:p>
            <w:pPr/>
            <w:r>
              <w:t xml:space="preserve">D4</w:t>
            </w:r>
          </w:p>
        </w:tc>
        <w:tc>
          <w:tcPr>
            <w:tcW w:w="1107" w:type="dxa"/>
          </w:tcPr>
          <w:p>
            <w:pPr/>
            <w:r>
              <w:t xml:space="preserve">Passung</w:t>
            </w:r>
          </w:p>
        </w:tc>
        <w:tc>
          <w:tcPr>
            <w:tcW w:w="2608" w:type="dxa"/>
          </w:tcPr>
          <w:p>
            <w:pPr/>
            <w:r>
              <w:t xml:space="preserve">„we conducted an online survey with employed participants in Germany (n = 159), presenting VR as a prospective work tool via descriptive text and images.“ (S. 319)</w:t>
            </w:r>
          </w:p>
        </w:tc>
        <w:tc>
          <w:tcPr>
            <w:tcW w:w="1732" w:type="dxa"/>
          </w:tcPr>
          <w:p>
            <w:pPr/>
            <w:r>
              <w:t xml:space="preserve">Beschäftigte, Arbeitsaufgaben, Erhebung vor der Einführung. Abweichend ist nur die Technologie.</w:t>
            </w:r>
          </w:p>
        </w:tc>
      </w:tr>
      <w:tr>
        <w:tc>
          <w:tcPr>
            <w:tcW w:w="909" w:type="dxa"/>
          </w:tcPr>
          <w:p>
            <w:pPr/>
            <w:r>
              <w:t xml:space="preserve">P4</w:t>
            </w:r>
          </w:p>
        </w:tc>
        <w:tc>
          <w:tcPr>
            <w:tcW w:w="1444" w:type="dxa"/>
          </w:tcPr>
          <w:p>
            <w:pPr/>
            <w:r>
              <w:t xml:space="preserve">verworfen</w:t>
            </w:r>
          </w:p>
        </w:tc>
        <w:tc>
          <w:tcPr>
            <w:tcW w:w="1560" w:type="dxa"/>
          </w:tcPr>
          <w:p>
            <w:pPr/>
            <w:r>
              <w:t xml:space="preserve">(D5)</w:t>
            </w:r>
          </w:p>
        </w:tc>
        <w:tc>
          <w:tcPr>
            <w:tcW w:w="1107" w:type="dxa"/>
          </w:tcPr>
          <w:p>
            <w:pPr/>
            <w:r>
              <w:t xml:space="preserve">Format</w:t>
            </w:r>
          </w:p>
        </w:tc>
        <w:tc>
          <w:tcPr>
            <w:tcW w:w="2608" w:type="dxa"/>
          </w:tcPr>
          <w:p>
            <w:pPr/>
            <w:r>
              <w:t xml:space="preserve">„We considered each trustworthiness factor of Mayer, Davis, and Schoorman (1995)’s model to a measurement with respectively three measurement items.“ (S. 8)</w:t>
            </w:r>
          </w:p>
        </w:tc>
        <w:tc>
          <w:tcPr>
            <w:tcW w:w="1732" w:type="dxa"/>
          </w:tcPr>
          <w:p>
            <w:pPr/>
            <w:r>
              <w:t xml:space="preserve">Die Antwortskala ist in keiner Quelle enthalten. Zusätzlich fehlt Passung: Entscheider:innen, „wir“-Ebene, „we ended up with single measures“ (S. 17).</w:t>
            </w:r>
          </w:p>
        </w:tc>
      </w:tr>
      <w:tr>
        <w:tc>
          <w:tcPr>
            <w:tcW w:w="909" w:type="dxa"/>
          </w:tcPr>
          <w:p>
            <w:pPr/>
            <w:r>
              <w:t xml:space="preserve">P1</w:t>
            </w:r>
          </w:p>
        </w:tc>
        <w:tc>
          <w:tcPr>
            <w:tcW w:w="1444" w:type="dxa"/>
          </w:tcPr>
          <w:p>
            <w:pPr/>
            <w:r>
              <w:t xml:space="preserve">verworfen</w:t>
            </w:r>
          </w:p>
        </w:tc>
        <w:tc>
          <w:tcPr>
            <w:tcW w:w="1560" w:type="dxa"/>
          </w:tcPr>
          <w:p>
            <w:pPr/>
            <w:r>
              <w:t xml:space="preserve">–</w:t>
            </w:r>
          </w:p>
        </w:tc>
        <w:tc>
          <w:tcPr>
            <w:tcW w:w="1107" w:type="dxa"/>
          </w:tcPr>
          <w:p>
            <w:pPr/>
            <w:r>
              <w:t xml:space="preserve">Passung</w:t>
            </w:r>
          </w:p>
        </w:tc>
        <w:tc>
          <w:tcPr>
            <w:tcW w:w="2608" w:type="dxa"/>
          </w:tcPr>
          <w:p>
            <w:pPr/>
            <w:r>
              <w:t xml:space="preserve">„This study aims to investigate the intention to use new HIS for decisions concerning short- and long-term medical treatments“ (S. 1)</w:t>
            </w:r>
          </w:p>
        </w:tc>
        <w:tc>
          <w:tcPr>
            <w:tcW w:w="1732" w:type="dxa"/>
          </w:tcPr>
          <w:p>
            <w:pPr/>
            <w:r>
              <w:t xml:space="preserve">Gesundheitskontext, Items beziehen sich auf Krankheit und Operation.</w:t>
            </w:r>
          </w:p>
        </w:tc>
      </w:tr>
      <w:tr>
        <w:tc>
          <w:tcPr>
            <w:tcW w:w="909" w:type="dxa"/>
          </w:tcPr>
          <w:p>
            <w:pPr/>
            <w:r>
              <w:t xml:space="preserve">P2</w:t>
            </w:r>
          </w:p>
        </w:tc>
        <w:tc>
          <w:tcPr>
            <w:tcW w:w="1444" w:type="dxa"/>
          </w:tcPr>
          <w:p>
            <w:pPr/>
            <w:r>
              <w:t xml:space="preserve">verworfen</w:t>
            </w:r>
          </w:p>
        </w:tc>
        <w:tc>
          <w:tcPr>
            <w:tcW w:w="1560" w:type="dxa"/>
          </w:tcPr>
          <w:p>
            <w:pPr/>
            <w:r>
              <w:t xml:space="preserve">–</w:t>
            </w:r>
          </w:p>
        </w:tc>
        <w:tc>
          <w:tcPr>
            <w:tcW w:w="1107" w:type="dxa"/>
          </w:tcPr>
          <w:p>
            <w:pPr/>
            <w:r>
              <w:t xml:space="preserve">Passung</w:t>
            </w:r>
          </w:p>
        </w:tc>
        <w:tc>
          <w:tcPr>
            <w:tcW w:w="2608" w:type="dxa"/>
          </w:tcPr>
          <w:p>
            <w:pPr/>
            <w:r>
              <w:t xml:space="preserve">„we design an energy monitoring app (EMA) and conduct a survey with 214 participants in Germany.“ (S. 961)</w:t>
            </w:r>
          </w:p>
        </w:tc>
        <w:tc>
          <w:tcPr>
            <w:tcW w:w="1732" w:type="dxa"/>
          </w:tcPr>
          <w:p>
            <w:pPr/>
            <w:r>
              <w:t xml:space="preserve">Konsumkontext; Normitems beziehen sich auf Familie und Freundeskreis.</w:t>
            </w:r>
          </w:p>
        </w:tc>
      </w:tr>
      <w:tr>
        <w:tc>
          <w:tcPr>
            <w:tcW w:w="909" w:type="dxa"/>
          </w:tcPr>
          <w:p>
            <w:pPr/>
            <w:r>
              <w:t xml:space="preserve">P5</w:t>
            </w:r>
          </w:p>
        </w:tc>
        <w:tc>
          <w:tcPr>
            <w:tcW w:w="1444" w:type="dxa"/>
          </w:tcPr>
          <w:p>
            <w:pPr/>
            <w:r>
              <w:t xml:space="preserve">verworfen</w:t>
            </w:r>
          </w:p>
        </w:tc>
        <w:tc>
          <w:tcPr>
            <w:tcW w:w="1560" w:type="dxa"/>
          </w:tcPr>
          <w:p>
            <w:pPr/>
            <w:r>
              <w:t xml:space="preserve">–</w:t>
            </w:r>
          </w:p>
        </w:tc>
        <w:tc>
          <w:tcPr>
            <w:tcW w:w="1107" w:type="dxa"/>
          </w:tcPr>
          <w:p>
            <w:pPr/>
            <w:r>
              <w:t xml:space="preserve">Passung</w:t>
            </w:r>
          </w:p>
        </w:tc>
        <w:tc>
          <w:tcPr>
            <w:tcW w:w="2608" w:type="dxa"/>
          </w:tcPr>
          <w:p>
            <w:pPr/>
            <w:r>
              <w:t xml:space="preserve">„We surveyed 195 office employees, who were asked to assess their work engagement according to the perceived technical aspects and social interaction in virtual meetings.“ (S. 173)</w:t>
            </w:r>
          </w:p>
        </w:tc>
        <w:tc>
          <w:tcPr>
            <w:tcW w:w="1732" w:type="dxa"/>
          </w:tcPr>
          <w:p>
            <w:pPr/>
            <w:r>
              <w:t xml:space="preserve">Andere Technologie, Phase während der Nutzung.</w:t>
            </w:r>
          </w:p>
        </w:tc>
      </w:tr>
    </w:tbl>
    <w:p>
      <w:pPr/>
      <w:r>
        <w:rPr>
          <w:b/>
        </w:rPr>
        <w:t xml:space="preserve">Keine passende Quelle für Dimension D5 (Vertrauen)</w:t>
      </w:r>
      <w:r>
        <w:t xml:space="preserve"> (Regel 9).</w:t>
      </w:r>
    </w:p>
    <w:p>
      <w:pPr>
        <w:pStyle w:val="Heading2"/>
      </w:pPr>
      <w:r>
        <w:t xml:space="preserve">Teil I – 1c Vollinventar: S1 – MAILS (S1a + S1b)</w:t>
      </w:r>
    </w:p>
    <w:p>
      <w:pPr>
        <w:pStyle w:val="Heading3"/>
      </w:pPr>
      <w:r>
        <w:t xml:space="preserve">C1 Definitionen</w:t>
      </w:r>
    </w:p>
    <w:tbl>
      <w:tblPr>
        <w:tblStyle w:val="TableGrid"/>
        <w:tblW w:w="0" w:type="auto"/>
        <w:tblLayout w:type="fixed"/>
        <w:tblLook w:val="04A0" w:firstRow="1" w:lastRow="0" w:firstColumn="0" w:lastColumn="0" w:noHBand="0" w:noVBand="1"/>
      </w:tblPr>
      <w:tblGrid>
        <w:gridCol w:w="1715"/>
        <w:gridCol w:w="3967"/>
        <w:gridCol w:w="2334"/>
        <w:gridCol w:w="1344"/>
      </w:tblGrid>
      <w:tr>
        <w:trPr>
          <w:tblHeader/>
        </w:trPr>
        <w:tc>
          <w:tcPr>
            <w:tcW w:w="1715" w:type="dxa"/>
            <w:shd w:val="clear" w:color="auto" w:fill="F2F2F2"/>
          </w:tcPr>
          <w:p>
            <w:pPr/>
            <w:r>
              <w:t xml:space="preserve">Konstrukt</w:t>
            </w:r>
          </w:p>
        </w:tc>
        <w:tc>
          <w:tcPr>
            <w:tcW w:w="3967" w:type="dxa"/>
            <w:shd w:val="clear" w:color="auto" w:fill="F2F2F2"/>
          </w:tcPr>
          <w:p>
            <w:pPr/>
            <w:r>
              <w:t xml:space="preserve">Definition</w:t>
            </w:r>
          </w:p>
        </w:tc>
        <w:tc>
          <w:tcPr>
            <w:tcW w:w="2334" w:type="dxa"/>
            <w:shd w:val="clear" w:color="auto" w:fill="F2F2F2"/>
          </w:tcPr>
          <w:p>
            <w:pPr/>
            <w:r>
              <w:t xml:space="preserve">primär / zit. n.</w:t>
            </w:r>
          </w:p>
        </w:tc>
        <w:tc>
          <w:tcPr>
            <w:tcW w:w="1344" w:type="dxa"/>
            <w:shd w:val="clear" w:color="auto" w:fill="F2F2F2"/>
          </w:tcPr>
          <w:p>
            <w:pPr/>
            <w:r>
              <w:t xml:space="preserve">Fundstelle</w:t>
            </w:r>
          </w:p>
        </w:tc>
      </w:tr>
      <w:tr>
        <w:tc>
          <w:tcPr>
            <w:tcW w:w="1715" w:type="dxa"/>
          </w:tcPr>
          <w:p>
            <w:pPr/>
            <w:r>
              <w:t xml:space="preserve">AI Literacy (übergeordnet)</w:t>
            </w:r>
          </w:p>
        </w:tc>
        <w:tc>
          <w:tcPr>
            <w:tcW w:w="3967" w:type="dxa"/>
          </w:tcPr>
          <w:p>
            <w:pPr/>
            <w:r>
              <w:t xml:space="preserve">„[…] set of competencies that enable individuals to critically evaluate AI technologies; communicate and collaborate effectively with AI; and use AI as a tool online, at home, and in the workplace“</w:t>
            </w:r>
          </w:p>
        </w:tc>
        <w:tc>
          <w:tcPr>
            <w:tcW w:w="2334" w:type="dxa"/>
          </w:tcPr>
          <w:p>
            <w:pPr/>
            <w:r>
              <w:t xml:space="preserve">zit. n. Long &amp; Magerko (2020); im Literaturverzeichnis enthalten</w:t>
            </w:r>
          </w:p>
        </w:tc>
        <w:tc>
          <w:tcPr>
            <w:tcW w:w="1344" w:type="dxa"/>
          </w:tcPr>
          <w:p>
            <w:pPr/>
            <w:r>
              <w:t xml:space="preserve">S1b S. 2</w:t>
            </w:r>
          </w:p>
        </w:tc>
      </w:tr>
      <w:tr>
        <w:tc>
          <w:tcPr>
            <w:tcW w:w="1715" w:type="dxa"/>
          </w:tcPr>
          <w:p>
            <w:pPr/>
            <w:r>
              <w:t xml:space="preserve">Use &amp; Apply</w:t>
            </w:r>
          </w:p>
        </w:tc>
        <w:tc>
          <w:tcPr>
            <w:tcW w:w="3967" w:type="dxa"/>
          </w:tcPr>
          <w:p>
            <w:pPr/>
            <w:r>
              <w:t xml:space="preserve">nicht in den Quellen enthalten</w:t>
            </w:r>
          </w:p>
        </w:tc>
        <w:tc>
          <w:tcPr>
            <w:tcW w:w="2334" w:type="dxa"/>
          </w:tcPr>
          <w:p>
            <w:pPr/>
            <w:r>
              <w:t xml:space="preserve">–</w:t>
            </w:r>
          </w:p>
        </w:tc>
        <w:tc>
          <w:tcPr>
            <w:tcW w:w="1344" w:type="dxa"/>
          </w:tcPr>
          <w:p>
            <w:pPr/>
            <w:r>
              <w:t xml:space="preserve">–</w:t>
            </w:r>
          </w:p>
        </w:tc>
      </w:tr>
      <w:tr>
        <w:tc>
          <w:tcPr>
            <w:tcW w:w="1715" w:type="dxa"/>
          </w:tcPr>
          <w:p>
            <w:pPr/>
            <w:r>
              <w:t xml:space="preserve">Know &amp; Understand</w:t>
            </w:r>
          </w:p>
        </w:tc>
        <w:tc>
          <w:tcPr>
            <w:tcW w:w="3967" w:type="dxa"/>
          </w:tcPr>
          <w:p>
            <w:pPr/>
            <w:r>
              <w:t xml:space="preserve">nicht in den Quellen enthalten</w:t>
            </w:r>
          </w:p>
        </w:tc>
        <w:tc>
          <w:tcPr>
            <w:tcW w:w="2334" w:type="dxa"/>
          </w:tcPr>
          <w:p>
            <w:pPr/>
            <w:r>
              <w:t xml:space="preserve">–</w:t>
            </w:r>
          </w:p>
        </w:tc>
        <w:tc>
          <w:tcPr>
            <w:tcW w:w="1344" w:type="dxa"/>
          </w:tcPr>
          <w:p>
            <w:pPr/>
            <w:r>
              <w:t xml:space="preserve">–</w:t>
            </w:r>
          </w:p>
        </w:tc>
      </w:tr>
      <w:tr>
        <w:tc>
          <w:tcPr>
            <w:tcW w:w="1715" w:type="dxa"/>
          </w:tcPr>
          <w:p>
            <w:pPr/>
            <w:r>
              <w:t xml:space="preserve">AI Problem solving</w:t>
            </w:r>
          </w:p>
        </w:tc>
        <w:tc>
          <w:tcPr>
            <w:tcW w:w="3967" w:type="dxa"/>
          </w:tcPr>
          <w:p>
            <w:pPr/>
            <w:r>
              <w:t xml:space="preserve">„the ability to solve problems encountered while working with AI (i.e., AI problem solving)“</w:t>
            </w:r>
          </w:p>
        </w:tc>
        <w:tc>
          <w:tcPr>
            <w:tcW w:w="2334" w:type="dxa"/>
          </w:tcPr>
          <w:p>
            <w:pPr/>
            <w:r>
              <w:t xml:space="preserve">primär</w:t>
            </w:r>
          </w:p>
        </w:tc>
        <w:tc>
          <w:tcPr>
            <w:tcW w:w="1344" w:type="dxa"/>
          </w:tcPr>
          <w:p>
            <w:pPr/>
            <w:r>
              <w:t xml:space="preserve">S1b S. 6</w:t>
            </w:r>
          </w:p>
        </w:tc>
      </w:tr>
      <w:tr>
        <w:tc>
          <w:tcPr>
            <w:tcW w:w="1715" w:type="dxa"/>
          </w:tcPr>
          <w:p>
            <w:pPr/>
            <w:r>
              <w:t xml:space="preserve">Learning</w:t>
            </w:r>
          </w:p>
        </w:tc>
        <w:tc>
          <w:tcPr>
            <w:tcW w:w="3967" w:type="dxa"/>
          </w:tcPr>
          <w:p>
            <w:pPr/>
            <w:r>
              <w:t xml:space="preserve">„the ability to keep up to date with current developments and inform oneself about new AI applications, called Learning“</w:t>
            </w:r>
          </w:p>
        </w:tc>
        <w:tc>
          <w:tcPr>
            <w:tcW w:w="2334" w:type="dxa"/>
          </w:tcPr>
          <w:p>
            <w:pPr/>
            <w:r>
              <w:t xml:space="preserve">primär</w:t>
            </w:r>
          </w:p>
        </w:tc>
        <w:tc>
          <w:tcPr>
            <w:tcW w:w="1344" w:type="dxa"/>
          </w:tcPr>
          <w:p>
            <w:pPr/>
            <w:r>
              <w:t xml:space="preserve">S1b S. 6</w:t>
            </w:r>
          </w:p>
        </w:tc>
      </w:tr>
    </w:tbl>
    <w:p>
      <w:pPr>
        <w:pStyle w:val="Heading3"/>
      </w:pPr>
      <w:r>
        <w:t xml:space="preserve">C2 Items</w:t>
      </w:r>
    </w:p>
    <w:p>
      <w:pPr>
        <w:pStyle w:val="ListParagraph"/>
        <w:numPr>
          <w:ilvl w:val="0"/>
          <w:numId w:val="4"/>
        </w:numPr>
      </w:pPr>
      <w:r>
        <w:t xml:space="preserve">Wortlaut EN: S1a PDF-S. 1–3; Abweichungen in S1b S. 9.</w:t>
      </w:r>
    </w:p>
    <w:p>
      <w:pPr>
        <w:pStyle w:val="ListParagraph"/>
        <w:numPr>
          <w:ilvl w:val="0"/>
          <w:numId w:val="4"/>
        </w:numPr>
      </w:pPr>
      <w:r>
        <w:t xml:space="preserve">DE: nicht in den Quellen enthalten.</w:t>
      </w:r>
    </w:p>
    <w:p>
      <w:pPr>
        <w:pStyle w:val="ListParagraph"/>
        <w:numPr>
          <w:ilvl w:val="0"/>
          <w:numId w:val="4"/>
        </w:numPr>
      </w:pPr>
      <w:r>
        <w:t xml:space="preserve">Itemstamm: keiner (Aussagen in der Form „I can …“).</w:t>
      </w:r>
    </w:p>
    <w:p>
      <w:pPr>
        <w:pStyle w:val="ListParagraph"/>
        <w:numPr>
          <w:ilvl w:val="0"/>
          <w:numId w:val="4"/>
        </w:numPr>
      </w:pPr>
      <w:r>
        <w:t xml:space="preserve">Herkunft: eigene Itementwicklung („we generated 56 items“, S1b S. 5; „we generated 12 items (three per construct)“, S1b S. 6).</w:t>
      </w:r>
    </w:p>
    <w:p>
      <w:pPr>
        <w:pStyle w:val="ListParagraph"/>
        <w:numPr>
          <w:ilvl w:val="0"/>
          <w:numId w:val="4"/>
        </w:numPr>
      </w:pPr>
      <w:r>
        <w:t xml:space="preserve">Motivierende Quellen je Facette laut S1b S. 9: Apply AI/Understand AI (Ng et al., 2022), AI Problem solving (Ajzen, 1985), Learning (Carolus et al., 2022; Cetindamar et al., 2022; Dai et al., 2020).</w:t>
      </w:r>
    </w:p>
    <w:tbl>
      <w:tblPr>
        <w:tblStyle w:val="TableGrid"/>
        <w:tblW w:w="0" w:type="auto"/>
        <w:tblLayout w:type="fixed"/>
        <w:tblLook w:val="04A0" w:firstRow="1" w:lastRow="0" w:firstColumn="0" w:lastColumn="0" w:noHBand="0" w:noVBand="1"/>
      </w:tblPr>
      <w:tblGrid>
        <w:gridCol w:w="830"/>
        <w:gridCol w:w="2333"/>
        <w:gridCol w:w="4688"/>
        <w:gridCol w:w="1509"/>
      </w:tblGrid>
      <w:tr>
        <w:trPr>
          <w:tblHeader/>
        </w:trPr>
        <w:tc>
          <w:tcPr>
            <w:tcW w:w="830" w:type="dxa"/>
            <w:shd w:val="clear" w:color="auto" w:fill="F2F2F2"/>
          </w:tcPr>
          <w:p>
            <w:pPr/>
            <w:r>
              <w:t xml:space="preserve">ID</w:t>
            </w:r>
          </w:p>
        </w:tc>
        <w:tc>
          <w:tcPr>
            <w:tcW w:w="2333" w:type="dxa"/>
            <w:shd w:val="clear" w:color="auto" w:fill="F2F2F2"/>
          </w:tcPr>
          <w:p>
            <w:pPr/>
            <w:r>
              <w:t xml:space="preserve">Subskala</w:t>
            </w:r>
          </w:p>
        </w:tc>
        <w:tc>
          <w:tcPr>
            <w:tcW w:w="4688" w:type="dxa"/>
            <w:shd w:val="clear" w:color="auto" w:fill="F2F2F2"/>
          </w:tcPr>
          <w:p>
            <w:pPr/>
            <w:r>
              <w:t xml:space="preserve">Wortlaut S1a</w:t>
            </w:r>
          </w:p>
        </w:tc>
        <w:tc>
          <w:tcPr>
            <w:tcW w:w="1509" w:type="dxa"/>
            <w:shd w:val="clear" w:color="auto" w:fill="F2F2F2"/>
          </w:tcPr>
          <w:p>
            <w:pPr/>
            <w:r>
              <w:t xml:space="preserve">Abweichung S1b</w:t>
            </w:r>
          </w:p>
        </w:tc>
      </w:tr>
      <w:tr>
        <w:tc>
          <w:tcPr>
            <w:tcW w:w="830" w:type="dxa"/>
          </w:tcPr>
          <w:p>
            <w:pPr/>
            <w:r>
              <w:t xml:space="preserve">1</w:t>
            </w:r>
          </w:p>
        </w:tc>
        <w:tc>
          <w:tcPr>
            <w:tcW w:w="2333" w:type="dxa"/>
          </w:tcPr>
          <w:p>
            <w:pPr/>
            <w:r>
              <w:t xml:space="preserve">Use &amp; Apply</w:t>
            </w:r>
          </w:p>
        </w:tc>
        <w:tc>
          <w:tcPr>
            <w:tcW w:w="4688" w:type="dxa"/>
          </w:tcPr>
          <w:p>
            <w:pPr/>
            <w:r>
              <w:t xml:space="preserve">I can operate AI applications.</w:t>
            </w:r>
          </w:p>
        </w:tc>
        <w:tc>
          <w:tcPr>
            <w:tcW w:w="1509" w:type="dxa"/>
          </w:tcPr>
          <w:p>
            <w:pPr/>
            <w:r>
              <w:t xml:space="preserve">⚠ „… in everyday life.“</w:t>
            </w:r>
          </w:p>
        </w:tc>
      </w:tr>
      <w:tr>
        <w:tc>
          <w:tcPr>
            <w:tcW w:w="830" w:type="dxa"/>
          </w:tcPr>
          <w:p>
            <w:pPr/>
            <w:r>
              <w:t xml:space="preserve">2</w:t>
            </w:r>
          </w:p>
        </w:tc>
        <w:tc>
          <w:tcPr>
            <w:tcW w:w="2333" w:type="dxa"/>
          </w:tcPr>
          <w:p>
            <w:pPr/>
            <w:r>
              <w:t xml:space="preserve">Use &amp; Apply</w:t>
            </w:r>
          </w:p>
        </w:tc>
        <w:tc>
          <w:tcPr>
            <w:tcW w:w="4688" w:type="dxa"/>
          </w:tcPr>
          <w:p>
            <w:pPr/>
            <w:r>
              <w:t xml:space="preserve">I can use AI applications to make my life easier.</w:t>
            </w:r>
          </w:p>
        </w:tc>
        <w:tc>
          <w:tcPr>
            <w:tcW w:w="1509" w:type="dxa"/>
          </w:tcPr>
          <w:p>
            <w:pPr/>
            <w:r>
              <w:t xml:space="preserve">⚠ „everyday life“</w:t>
            </w:r>
          </w:p>
        </w:tc>
      </w:tr>
      <w:tr>
        <w:tc>
          <w:tcPr>
            <w:tcW w:w="830" w:type="dxa"/>
          </w:tcPr>
          <w:p>
            <w:pPr/>
            <w:r>
              <w:t xml:space="preserve">3</w:t>
            </w:r>
          </w:p>
        </w:tc>
        <w:tc>
          <w:tcPr>
            <w:tcW w:w="2333" w:type="dxa"/>
          </w:tcPr>
          <w:p>
            <w:pPr/>
            <w:r>
              <w:t xml:space="preserve">Use &amp; Apply</w:t>
            </w:r>
          </w:p>
        </w:tc>
        <w:tc>
          <w:tcPr>
            <w:tcW w:w="4688" w:type="dxa"/>
          </w:tcPr>
          <w:p>
            <w:pPr/>
            <w:r>
              <w:t xml:space="preserve">I can use artificial intelligence meaningfully to achieve my goals.</w:t>
            </w:r>
          </w:p>
        </w:tc>
        <w:tc>
          <w:tcPr>
            <w:tcW w:w="1509" w:type="dxa"/>
          </w:tcPr>
          <w:p>
            <w:pPr/>
            <w:r>
              <w:t xml:space="preserve">⚠ „everyday goals“</w:t>
            </w:r>
          </w:p>
        </w:tc>
      </w:tr>
      <w:tr>
        <w:tc>
          <w:tcPr>
            <w:tcW w:w="830" w:type="dxa"/>
          </w:tcPr>
          <w:p>
            <w:pPr/>
            <w:r>
              <w:t xml:space="preserve">4</w:t>
            </w:r>
          </w:p>
        </w:tc>
        <w:tc>
          <w:tcPr>
            <w:tcW w:w="2333" w:type="dxa"/>
          </w:tcPr>
          <w:p>
            <w:pPr/>
            <w:r>
              <w:t xml:space="preserve">Use &amp; Apply</w:t>
            </w:r>
          </w:p>
        </w:tc>
        <w:tc>
          <w:tcPr>
            <w:tcW w:w="4688" w:type="dxa"/>
          </w:tcPr>
          <w:p>
            <w:pPr/>
            <w:r>
              <w:t xml:space="preserve">I can interact with AI in a way that makes my tasks easier.</w:t>
            </w:r>
          </w:p>
        </w:tc>
        <w:tc>
          <w:tcPr>
            <w:tcW w:w="1509" w:type="dxa"/>
          </w:tcPr>
          <w:p>
            <w:pPr/>
            <w:r>
              <w:t xml:space="preserve">⚠ „In everyday life, …“</w:t>
            </w:r>
          </w:p>
        </w:tc>
      </w:tr>
      <w:tr>
        <w:tc>
          <w:tcPr>
            <w:tcW w:w="830" w:type="dxa"/>
          </w:tcPr>
          <w:p>
            <w:pPr/>
            <w:r>
              <w:t xml:space="preserve">5</w:t>
            </w:r>
          </w:p>
        </w:tc>
        <w:tc>
          <w:tcPr>
            <w:tcW w:w="2333" w:type="dxa"/>
          </w:tcPr>
          <w:p>
            <w:pPr/>
            <w:r>
              <w:t xml:space="preserve">Use &amp; Apply</w:t>
            </w:r>
          </w:p>
        </w:tc>
        <w:tc>
          <w:tcPr>
            <w:tcW w:w="4688" w:type="dxa"/>
          </w:tcPr>
          <w:p>
            <w:pPr/>
            <w:r>
              <w:t xml:space="preserve">I can work together gainfully with an artificial intelligence.</w:t>
            </w:r>
          </w:p>
        </w:tc>
        <w:tc>
          <w:tcPr>
            <w:tcW w:w="1509" w:type="dxa"/>
          </w:tcPr>
          <w:p>
            <w:pPr/>
            <w:r>
              <w:t xml:space="preserve">⚠ „In everyday life, …“</w:t>
            </w:r>
          </w:p>
        </w:tc>
      </w:tr>
      <w:tr>
        <w:tc>
          <w:tcPr>
            <w:tcW w:w="830" w:type="dxa"/>
          </w:tcPr>
          <w:p>
            <w:pPr/>
            <w:r>
              <w:t xml:space="preserve">6</w:t>
            </w:r>
          </w:p>
        </w:tc>
        <w:tc>
          <w:tcPr>
            <w:tcW w:w="2333" w:type="dxa"/>
          </w:tcPr>
          <w:p>
            <w:pPr/>
            <w:r>
              <w:t xml:space="preserve">Use &amp; Apply</w:t>
            </w:r>
          </w:p>
        </w:tc>
        <w:tc>
          <w:tcPr>
            <w:tcW w:w="4688" w:type="dxa"/>
          </w:tcPr>
          <w:p>
            <w:pPr/>
            <w:r>
              <w:t xml:space="preserve">I can communicate gainfully with artificial intelligence.</w:t>
            </w:r>
          </w:p>
        </w:tc>
        <w:tc>
          <w:tcPr>
            <w:tcW w:w="1509" w:type="dxa"/>
          </w:tcPr>
          <w:p>
            <w:pPr/>
            <w:r>
              <w:t xml:space="preserve">⚠ „… in everyday life.“</w:t>
            </w:r>
          </w:p>
        </w:tc>
      </w:tr>
      <w:tr>
        <w:tc>
          <w:tcPr>
            <w:tcW w:w="830" w:type="dxa"/>
          </w:tcPr>
          <w:p>
            <w:pPr/>
            <w:r>
              <w:t xml:space="preserve">7</w:t>
            </w:r>
          </w:p>
        </w:tc>
        <w:tc>
          <w:tcPr>
            <w:tcW w:w="2333" w:type="dxa"/>
          </w:tcPr>
          <w:p>
            <w:pPr/>
            <w:r>
              <w:t xml:space="preserve">Know &amp; Understand</w:t>
            </w:r>
          </w:p>
        </w:tc>
        <w:tc>
          <w:tcPr>
            <w:tcW w:w="4688" w:type="dxa"/>
          </w:tcPr>
          <w:p>
            <w:pPr/>
            <w:r>
              <w:t xml:space="preserve">I know the most important concepts of the topic "artificial intelligence".</w:t>
            </w:r>
          </w:p>
        </w:tc>
        <w:tc>
          <w:tcPr>
            <w:tcW w:w="1509" w:type="dxa"/>
          </w:tcPr>
          <w:p>
            <w:pPr/>
            <w:r>
              <w:t xml:space="preserve">–</w:t>
            </w:r>
          </w:p>
        </w:tc>
      </w:tr>
      <w:tr>
        <w:tc>
          <w:tcPr>
            <w:tcW w:w="830" w:type="dxa"/>
          </w:tcPr>
          <w:p>
            <w:pPr/>
            <w:r>
              <w:t xml:space="preserve">8</w:t>
            </w:r>
          </w:p>
        </w:tc>
        <w:tc>
          <w:tcPr>
            <w:tcW w:w="2333" w:type="dxa"/>
          </w:tcPr>
          <w:p>
            <w:pPr/>
            <w:r>
              <w:t xml:space="preserve">Know &amp; Understand</w:t>
            </w:r>
          </w:p>
        </w:tc>
        <w:tc>
          <w:tcPr>
            <w:tcW w:w="4688" w:type="dxa"/>
          </w:tcPr>
          <w:p>
            <w:pPr/>
            <w:r>
              <w:t xml:space="preserve">I know definitions of artificial intelligence.</w:t>
            </w:r>
          </w:p>
        </w:tc>
        <w:tc>
          <w:tcPr>
            <w:tcW w:w="1509" w:type="dxa"/>
          </w:tcPr>
          <w:p>
            <w:pPr/>
            <w:r>
              <w:t xml:space="preserve">–</w:t>
            </w:r>
          </w:p>
        </w:tc>
      </w:tr>
      <w:tr>
        <w:tc>
          <w:tcPr>
            <w:tcW w:w="830" w:type="dxa"/>
          </w:tcPr>
          <w:p>
            <w:pPr/>
            <w:r>
              <w:t xml:space="preserve">9</w:t>
            </w:r>
          </w:p>
        </w:tc>
        <w:tc>
          <w:tcPr>
            <w:tcW w:w="2333" w:type="dxa"/>
          </w:tcPr>
          <w:p>
            <w:pPr/>
            <w:r>
              <w:t xml:space="preserve">Know &amp; Understand</w:t>
            </w:r>
          </w:p>
        </w:tc>
        <w:tc>
          <w:tcPr>
            <w:tcW w:w="4688" w:type="dxa"/>
          </w:tcPr>
          <w:p>
            <w:pPr/>
            <w:r>
              <w:t xml:space="preserve">I can assess what the limitations and opportunities of using an AI are.</w:t>
            </w:r>
          </w:p>
        </w:tc>
        <w:tc>
          <w:tcPr>
            <w:tcW w:w="1509" w:type="dxa"/>
          </w:tcPr>
          <w:p>
            <w:pPr/>
            <w:r>
              <w:t xml:space="preserve">–</w:t>
            </w:r>
          </w:p>
        </w:tc>
      </w:tr>
      <w:tr>
        <w:tc>
          <w:tcPr>
            <w:tcW w:w="830" w:type="dxa"/>
          </w:tcPr>
          <w:p>
            <w:pPr/>
            <w:r>
              <w:t xml:space="preserve">10</w:t>
            </w:r>
          </w:p>
        </w:tc>
        <w:tc>
          <w:tcPr>
            <w:tcW w:w="2333" w:type="dxa"/>
          </w:tcPr>
          <w:p>
            <w:pPr/>
            <w:r>
              <w:t xml:space="preserve">Know &amp; Understand</w:t>
            </w:r>
          </w:p>
        </w:tc>
        <w:tc>
          <w:tcPr>
            <w:tcW w:w="4688" w:type="dxa"/>
          </w:tcPr>
          <w:p>
            <w:pPr/>
            <w:r>
              <w:t xml:space="preserve">I can assess what advantages and disadvantages the use of an artificial intelligence entails.</w:t>
            </w:r>
          </w:p>
        </w:tc>
        <w:tc>
          <w:tcPr>
            <w:tcW w:w="1509" w:type="dxa"/>
          </w:tcPr>
          <w:p>
            <w:pPr/>
            <w:r>
              <w:t xml:space="preserve">–</w:t>
            </w:r>
          </w:p>
        </w:tc>
      </w:tr>
      <w:tr>
        <w:tc>
          <w:tcPr>
            <w:tcW w:w="830" w:type="dxa"/>
          </w:tcPr>
          <w:p>
            <w:pPr/>
            <w:r>
              <w:t xml:space="preserve">11</w:t>
            </w:r>
          </w:p>
        </w:tc>
        <w:tc>
          <w:tcPr>
            <w:tcW w:w="2333" w:type="dxa"/>
          </w:tcPr>
          <w:p>
            <w:pPr/>
            <w:r>
              <w:t xml:space="preserve">Know &amp; Understand</w:t>
            </w:r>
          </w:p>
        </w:tc>
        <w:tc>
          <w:tcPr>
            <w:tcW w:w="4688" w:type="dxa"/>
          </w:tcPr>
          <w:p>
            <w:pPr/>
            <w:r>
              <w:t xml:space="preserve">I can think of new uses for AI.</w:t>
            </w:r>
          </w:p>
        </w:tc>
        <w:tc>
          <w:tcPr>
            <w:tcW w:w="1509" w:type="dxa"/>
          </w:tcPr>
          <w:p>
            <w:pPr/>
            <w:r>
              <w:t xml:space="preserve">–</w:t>
            </w:r>
          </w:p>
        </w:tc>
      </w:tr>
      <w:tr>
        <w:tc>
          <w:tcPr>
            <w:tcW w:w="830" w:type="dxa"/>
          </w:tcPr>
          <w:p>
            <w:pPr/>
            <w:r>
              <w:t xml:space="preserve">12</w:t>
            </w:r>
          </w:p>
        </w:tc>
        <w:tc>
          <w:tcPr>
            <w:tcW w:w="2333" w:type="dxa"/>
          </w:tcPr>
          <w:p>
            <w:pPr/>
            <w:r>
              <w:t xml:space="preserve">Know &amp; Understand</w:t>
            </w:r>
          </w:p>
        </w:tc>
        <w:tc>
          <w:tcPr>
            <w:tcW w:w="4688" w:type="dxa"/>
          </w:tcPr>
          <w:p>
            <w:pPr/>
            <w:r>
              <w:t xml:space="preserve">I can imagine possible future uses of AI.</w:t>
            </w:r>
          </w:p>
        </w:tc>
        <w:tc>
          <w:tcPr>
            <w:tcW w:w="1509" w:type="dxa"/>
          </w:tcPr>
          <w:p>
            <w:pPr/>
            <w:r>
              <w:t xml:space="preserve">–</w:t>
            </w:r>
          </w:p>
        </w:tc>
      </w:tr>
      <w:tr>
        <w:tc>
          <w:tcPr>
            <w:tcW w:w="830" w:type="dxa"/>
          </w:tcPr>
          <w:p>
            <w:pPr/>
            <w:r>
              <w:t xml:space="preserve">13–15</w:t>
            </w:r>
          </w:p>
        </w:tc>
        <w:tc>
          <w:tcPr>
            <w:tcW w:w="2333" w:type="dxa"/>
          </w:tcPr>
          <w:p>
            <w:pPr/>
            <w:r>
              <w:t xml:space="preserve">Detect AI</w:t>
            </w:r>
          </w:p>
        </w:tc>
        <w:tc>
          <w:tcPr>
            <w:tcW w:w="4688" w:type="dxa"/>
          </w:tcPr>
          <w:p>
            <w:pPr/>
            <w:r>
              <w:t xml:space="preserve">13 I can tell if I am dealing with an application based on artificial intelligence. · 14 I can distinguish devices that use AI from devices that do not. · 15 I can distinguish if I interact with an AI or a "real human".</w:t>
            </w:r>
          </w:p>
        </w:tc>
        <w:tc>
          <w:tcPr>
            <w:tcW w:w="1509" w:type="dxa"/>
          </w:tcPr>
          <w:p>
            <w:pPr/>
            <w:r>
              <w:t xml:space="preserve">13: „ifI“ (Satzfehler)</w:t>
            </w:r>
          </w:p>
        </w:tc>
      </w:tr>
      <w:tr>
        <w:tc>
          <w:tcPr>
            <w:tcW w:w="830" w:type="dxa"/>
          </w:tcPr>
          <w:p>
            <w:pPr/>
            <w:r>
              <w:t xml:space="preserve">16–18</w:t>
            </w:r>
          </w:p>
        </w:tc>
        <w:tc>
          <w:tcPr>
            <w:tcW w:w="2333" w:type="dxa"/>
          </w:tcPr>
          <w:p>
            <w:pPr/>
            <w:r>
              <w:t xml:space="preserve">AI Ethics</w:t>
            </w:r>
          </w:p>
        </w:tc>
        <w:tc>
          <w:tcPr>
            <w:tcW w:w="4688" w:type="dxa"/>
          </w:tcPr>
          <w:p>
            <w:pPr/>
            <w:r>
              <w:t xml:space="preserve">16 I can weigh the consequences of using AI for society. · 17 I can incorporate ethical considerations when deciding whether to use data provided by an AI. · 18 I can analyze AI-based applications for their ethical implications.</w:t>
            </w:r>
          </w:p>
        </w:tc>
        <w:tc>
          <w:tcPr>
            <w:tcW w:w="1509" w:type="dxa"/>
          </w:tcPr>
          <w:p>
            <w:pPr/>
            <w:r>
              <w:t xml:space="preserve">–</w:t>
            </w:r>
          </w:p>
        </w:tc>
      </w:tr>
      <w:tr>
        <w:tc>
          <w:tcPr>
            <w:tcW w:w="830" w:type="dxa"/>
          </w:tcPr>
          <w:p>
            <w:pPr/>
            <w:r>
              <w:t xml:space="preserve">19–22</w:t>
            </w:r>
          </w:p>
        </w:tc>
        <w:tc>
          <w:tcPr>
            <w:tcW w:w="2333" w:type="dxa"/>
          </w:tcPr>
          <w:p>
            <w:pPr/>
            <w:r>
              <w:t xml:space="preserve">Create AI</w:t>
            </w:r>
          </w:p>
        </w:tc>
        <w:tc>
          <w:tcPr>
            <w:tcW w:w="4688" w:type="dxa"/>
          </w:tcPr>
          <w:p>
            <w:pPr/>
            <w:r>
              <w:t xml:space="preserve">19 I can design new AI applications. · 20 I can program new applications in the field of "artificial intelligence". · 21 I can develop new AI applications. · 22 I can select useful tools (e.g., frameworks, programming languages) to program an AI.</w:t>
            </w:r>
          </w:p>
        </w:tc>
        <w:tc>
          <w:tcPr>
            <w:tcW w:w="1509" w:type="dxa"/>
          </w:tcPr>
          <w:p>
            <w:pPr/>
            <w:r>
              <w:t xml:space="preserve">–</w:t>
            </w:r>
          </w:p>
        </w:tc>
      </w:tr>
      <w:tr>
        <w:tc>
          <w:tcPr>
            <w:tcW w:w="830" w:type="dxa"/>
          </w:tcPr>
          <w:p>
            <w:pPr/>
            <w:r>
              <w:t xml:space="preserve">23</w:t>
            </w:r>
          </w:p>
        </w:tc>
        <w:tc>
          <w:tcPr>
            <w:tcW w:w="2333" w:type="dxa"/>
          </w:tcPr>
          <w:p>
            <w:pPr/>
            <w:r>
              <w:t xml:space="preserve">AI Problem-Solving</w:t>
            </w:r>
          </w:p>
        </w:tc>
        <w:tc>
          <w:tcPr>
            <w:tcW w:w="4688" w:type="dxa"/>
          </w:tcPr>
          <w:p>
            <w:pPr/>
            <w:r>
              <w:t xml:space="preserve">I can rely on my skills in difficult situations when using AI.</w:t>
            </w:r>
          </w:p>
        </w:tc>
        <w:tc>
          <w:tcPr>
            <w:tcW w:w="1509" w:type="dxa"/>
          </w:tcPr>
          <w:p>
            <w:pPr/>
            <w:r>
              <w:t xml:space="preserve">–</w:t>
            </w:r>
          </w:p>
        </w:tc>
      </w:tr>
      <w:tr>
        <w:tc>
          <w:tcPr>
            <w:tcW w:w="830" w:type="dxa"/>
          </w:tcPr>
          <w:p>
            <w:pPr/>
            <w:r>
              <w:t xml:space="preserve">24</w:t>
            </w:r>
          </w:p>
        </w:tc>
        <w:tc>
          <w:tcPr>
            <w:tcW w:w="2333" w:type="dxa"/>
          </w:tcPr>
          <w:p>
            <w:pPr/>
            <w:r>
              <w:t xml:space="preserve">AI Problem-Solving</w:t>
            </w:r>
          </w:p>
        </w:tc>
        <w:tc>
          <w:tcPr>
            <w:tcW w:w="4688" w:type="dxa"/>
          </w:tcPr>
          <w:p>
            <w:pPr/>
            <w:r>
              <w:t xml:space="preserve">I can handle most problems in dealing with artificial intelligence well on my own.</w:t>
            </w:r>
          </w:p>
        </w:tc>
        <w:tc>
          <w:tcPr>
            <w:tcW w:w="1509" w:type="dxa"/>
          </w:tcPr>
          <w:p>
            <w:pPr/>
            <w:r>
              <w:t xml:space="preserve">–</w:t>
            </w:r>
          </w:p>
        </w:tc>
      </w:tr>
      <w:tr>
        <w:tc>
          <w:tcPr>
            <w:tcW w:w="830" w:type="dxa"/>
          </w:tcPr>
          <w:p>
            <w:pPr/>
            <w:r>
              <w:t xml:space="preserve">25</w:t>
            </w:r>
          </w:p>
        </w:tc>
        <w:tc>
          <w:tcPr>
            <w:tcW w:w="2333" w:type="dxa"/>
          </w:tcPr>
          <w:p>
            <w:pPr/>
            <w:r>
              <w:t xml:space="preserve">AI Problem-Solving</w:t>
            </w:r>
          </w:p>
        </w:tc>
        <w:tc>
          <w:tcPr>
            <w:tcW w:w="4688" w:type="dxa"/>
          </w:tcPr>
          <w:p>
            <w:pPr/>
            <w:r>
              <w:t xml:space="preserve">I can also usually solve strenuous and complicated tasks when working with artificial intelligence well.</w:t>
            </w:r>
          </w:p>
        </w:tc>
        <w:tc>
          <w:tcPr>
            <w:tcW w:w="1509" w:type="dxa"/>
          </w:tcPr>
          <w:p>
            <w:pPr/>
            <w:r>
              <w:t xml:space="preserve">–</w:t>
            </w:r>
          </w:p>
        </w:tc>
      </w:tr>
      <w:tr>
        <w:tc>
          <w:tcPr>
            <w:tcW w:w="830" w:type="dxa"/>
          </w:tcPr>
          <w:p>
            <w:pPr/>
            <w:r>
              <w:t xml:space="preserve">26</w:t>
            </w:r>
          </w:p>
        </w:tc>
        <w:tc>
          <w:tcPr>
            <w:tcW w:w="2333" w:type="dxa"/>
          </w:tcPr>
          <w:p>
            <w:pPr/>
            <w:r>
              <w:t xml:space="preserve">Learning</w:t>
            </w:r>
          </w:p>
        </w:tc>
        <w:tc>
          <w:tcPr>
            <w:tcW w:w="4688" w:type="dxa"/>
          </w:tcPr>
          <w:p>
            <w:pPr/>
            <w:r>
              <w:t xml:space="preserve">Despite the rapid changes in the field of artificial intelligence, I can always keep up to date.</w:t>
            </w:r>
          </w:p>
        </w:tc>
        <w:tc>
          <w:tcPr>
            <w:tcW w:w="1509" w:type="dxa"/>
          </w:tcPr>
          <w:p>
            <w:pPr/>
            <w:r>
              <w:t xml:space="preserve">⚠ in S1b Position 27</w:t>
            </w:r>
          </w:p>
        </w:tc>
      </w:tr>
      <w:tr>
        <w:tc>
          <w:tcPr>
            <w:tcW w:w="830" w:type="dxa"/>
          </w:tcPr>
          <w:p>
            <w:pPr/>
            <w:r>
              <w:t xml:space="preserve">27</w:t>
            </w:r>
          </w:p>
        </w:tc>
        <w:tc>
          <w:tcPr>
            <w:tcW w:w="2333" w:type="dxa"/>
          </w:tcPr>
          <w:p>
            <w:pPr/>
            <w:r>
              <w:t xml:space="preserve">Learning</w:t>
            </w:r>
          </w:p>
        </w:tc>
        <w:tc>
          <w:tcPr>
            <w:tcW w:w="4688" w:type="dxa"/>
          </w:tcPr>
          <w:p>
            <w:pPr/>
            <w:r>
              <w:t xml:space="preserve">I can keep up with the latest innovations in AI applications.</w:t>
            </w:r>
          </w:p>
        </w:tc>
        <w:tc>
          <w:tcPr>
            <w:tcW w:w="1509" w:type="dxa"/>
          </w:tcPr>
          <w:p>
            <w:pPr/>
            <w:r>
              <w:t xml:space="preserve">⚠ in S1b Position 26</w:t>
            </w:r>
          </w:p>
        </w:tc>
      </w:tr>
      <w:tr>
        <w:tc>
          <w:tcPr>
            <w:tcW w:w="830" w:type="dxa"/>
          </w:tcPr>
          <w:p>
            <w:pPr/>
            <w:r>
              <w:t xml:space="preserve">28</w:t>
            </w:r>
          </w:p>
        </w:tc>
        <w:tc>
          <w:tcPr>
            <w:tcW w:w="2333" w:type="dxa"/>
          </w:tcPr>
          <w:p>
            <w:pPr/>
            <w:r>
              <w:t xml:space="preserve">Learning</w:t>
            </w:r>
          </w:p>
        </w:tc>
        <w:tc>
          <w:tcPr>
            <w:tcW w:w="4688" w:type="dxa"/>
          </w:tcPr>
          <w:p>
            <w:pPr/>
            <w:r>
              <w:t xml:space="preserve">Although there are often new AI applications, I manage to always be "up-to date".</w:t>
            </w:r>
          </w:p>
        </w:tc>
        <w:tc>
          <w:tcPr>
            <w:tcW w:w="1509" w:type="dxa"/>
          </w:tcPr>
          <w:p>
            <w:pPr/>
            <w:r>
              <w:t xml:space="preserve">–</w:t>
            </w:r>
          </w:p>
        </w:tc>
      </w:tr>
      <w:tr>
        <w:tc>
          <w:tcPr>
            <w:tcW w:w="830" w:type="dxa"/>
          </w:tcPr>
          <w:p>
            <w:pPr/>
            <w:r>
              <w:t xml:space="preserve">29–31</w:t>
            </w:r>
          </w:p>
        </w:tc>
        <w:tc>
          <w:tcPr>
            <w:tcW w:w="2333" w:type="dxa"/>
          </w:tcPr>
          <w:p>
            <w:pPr/>
            <w:r>
              <w:t xml:space="preserve">Persuasion Literacy</w:t>
            </w:r>
          </w:p>
        </w:tc>
        <w:tc>
          <w:tcPr>
            <w:tcW w:w="4688" w:type="dxa"/>
          </w:tcPr>
          <w:p>
            <w:pPr/>
            <w:r>
              <w:t xml:space="preserve">29 I don't let AI influence me in my decisions. · 30 I can prevent an AI from influencing me in my decisions. · 31 I realise if artificial intelligence is influencing me in my decisions.</w:t>
            </w:r>
          </w:p>
        </w:tc>
        <w:tc>
          <w:tcPr>
            <w:tcW w:w="1509" w:type="dxa"/>
          </w:tcPr>
          <w:p>
            <w:pPr/>
            <w:r>
              <w:t xml:space="preserve">⚠ „everyday decisions“</w:t>
            </w:r>
          </w:p>
        </w:tc>
      </w:tr>
      <w:tr>
        <w:tc>
          <w:tcPr>
            <w:tcW w:w="830" w:type="dxa"/>
          </w:tcPr>
          <w:p>
            <w:pPr/>
            <w:r>
              <w:t xml:space="preserve">32–34</w:t>
            </w:r>
          </w:p>
        </w:tc>
        <w:tc>
          <w:tcPr>
            <w:tcW w:w="2333" w:type="dxa"/>
          </w:tcPr>
          <w:p>
            <w:pPr/>
            <w:r>
              <w:t xml:space="preserve">Emotion Regulation</w:t>
            </w:r>
          </w:p>
        </w:tc>
        <w:tc>
          <w:tcPr>
            <w:tcW w:w="4688" w:type="dxa"/>
          </w:tcPr>
          <w:p>
            <w:pPr/>
            <w:r>
              <w:t xml:space="preserve">32 I keep control over feelings like frustration and anxiety while doing things with AI. · 33 I can handle it when interactions with AI frustrate or frighten me. · 34 I can control my euphoria that arises when I use artificial intelligence for different purposes.</w:t>
            </w:r>
          </w:p>
        </w:tc>
        <w:tc>
          <w:tcPr>
            <w:tcW w:w="1509" w:type="dxa"/>
          </w:tcPr>
          <w:p>
            <w:pPr/>
            <w:r>
              <w:t xml:space="preserve">⚠ „everyday“</w:t>
            </w:r>
          </w:p>
        </w:tc>
      </w:tr>
    </w:tbl>
    <w:p>
      <w:pPr>
        <w:pStyle w:val="Heading3"/>
      </w:pPr>
      <w:r>
        <w:t xml:space="preserve">C3 Messverfahren</w:t>
      </w:r>
    </w:p>
    <w:p>
      <w:pPr>
        <w:pStyle w:val="ListParagraph"/>
        <w:numPr>
          <w:ilvl w:val="0"/>
          <w:numId w:val="5"/>
        </w:numPr>
      </w:pPr>
      <w:r>
        <w:rPr>
          <w:b/>
        </w:rPr>
        <w:t xml:space="preserve">Skala:</w:t>
      </w:r>
      <w:r>
        <w:t xml:space="preserve"> 0–10 mit Ankern „not at all or hardly pronounced“ und „very well or (almost) perfectly pronounced“ (S1a PDF-S. 1).</w:t>
      </w:r>
    </w:p>
    <w:p>
      <w:pPr>
        <w:pStyle w:val="ListParagraph"/>
        <w:numPr>
          <w:ilvl w:val="0"/>
          <w:numId w:val="5"/>
        </w:numPr>
      </w:pPr>
      <w:r>
        <w:rPr>
          <w:b/>
        </w:rPr>
        <w:t xml:space="preserve">Begründung der Skala:</w:t>
      </w:r>
      <w:r>
        <w:t xml:space="preserve"> „We decided to use this scale because it can easily be understood as the certainty of being able to show a behavior Bandura et al. (2006).“ (S1b S. 6) sowie „There is no scale labeling to achieve an approximate metric scale level.“ (S1b S. 6).</w:t>
      </w:r>
    </w:p>
    <w:p>
      <w:pPr>
        <w:pStyle w:val="ListParagraph"/>
        <w:numPr>
          <w:ilvl w:val="0"/>
          <w:numId w:val="5"/>
        </w:numPr>
      </w:pPr>
      <w:r>
        <w:rPr>
          <w:b/>
        </w:rPr>
        <w:t xml:space="preserve">Andere Skalierungen:</w:t>
      </w:r>
      <w:r>
        <w:t xml:space="preserve"> keine Aussage zu MAILS. Die Aussage zu 5-stufigen Skalen auf S. 6 bezieht sich auf GAAIS und die Technikbereitschaftsskala.</w:t>
      </w:r>
    </w:p>
    <w:p>
      <w:pPr>
        <w:pStyle w:val="ListParagraph"/>
        <w:numPr>
          <w:ilvl w:val="0"/>
          <w:numId w:val="5"/>
        </w:numPr>
      </w:pPr>
      <w:r>
        <w:rPr>
          <w:b/>
        </w:rPr>
        <w:t xml:space="preserve">Filter/Szenario:</w:t>
      </w:r>
      <w:r>
        <w:t xml:space="preserve"> keine.</w:t>
      </w:r>
    </w:p>
    <w:p>
      <w:pPr>
        <w:pStyle w:val="ListParagraph"/>
        <w:numPr>
          <w:ilvl w:val="0"/>
          <w:numId w:val="5"/>
        </w:numPr>
      </w:pPr>
      <w:r>
        <w:rPr>
          <w:b/>
        </w:rPr>
        <w:t xml:space="preserve">Instruktion:</w:t>
      </w:r>
      <w:r>
        <w:t xml:space="preserve"> S1a PDF-S. 1.</w:t>
      </w:r>
    </w:p>
    <w:p>
      <w:pPr>
        <w:pStyle w:val="ListParagraph"/>
        <w:numPr>
          <w:ilvl w:val="0"/>
          <w:numId w:val="5"/>
        </w:numPr>
      </w:pPr>
      <w:r>
        <w:rPr>
          <w:b/>
        </w:rPr>
        <w:t xml:space="preserve">Blockreihenfolge:</w:t>
      </w:r>
      <w:r>
        <w:t xml:space="preserve"> „The 12 items on AI self-management and 56 items on AI literacy were administered first.“ (S1b S. 6).</w:t>
      </w:r>
    </w:p>
    <w:p>
      <w:pPr>
        <w:pStyle w:val="ListParagraph"/>
        <w:numPr>
          <w:ilvl w:val="0"/>
          <w:numId w:val="5"/>
        </w:numPr>
      </w:pPr>
      <w:r>
        <w:rPr>
          <w:b/>
        </w:rPr>
        <w:t xml:space="preserve">Administrationssprache:</w:t>
      </w:r>
      <w:r>
        <w:t xml:space="preserve"> „All measures were administered online via SoSci-Survey in German.“ (S1b S. 5).</w:t>
      </w:r>
    </w:p>
    <w:p>
      <w:pPr>
        <w:pStyle w:val="Heading3"/>
      </w:pPr>
      <w:r>
        <w:t xml:space="preserve">C4 Modell</w:t>
      </w:r>
    </w:p>
    <w:p>
      <w:pPr>
        <w:pStyle w:val="ListParagraph"/>
        <w:numPr>
          <w:ilvl w:val="0"/>
          <w:numId w:val="6"/>
        </w:numPr>
      </w:pPr>
      <w:r>
        <w:rPr>
          <w:b/>
        </w:rPr>
        <w:t xml:space="preserve">Rolle:</w:t>
      </w:r>
      <w:r>
        <w:t xml:space="preserve"> Messmodell (CFA), keine Prädiktor-Kriterium-Struktur.</w:t>
      </w:r>
    </w:p>
    <w:p>
      <w:pPr>
        <w:pStyle w:val="ListParagraph"/>
        <w:numPr>
          <w:ilvl w:val="0"/>
          <w:numId w:val="6"/>
        </w:numPr>
      </w:pPr>
      <w:r>
        <w:rPr>
          <w:b/>
        </w:rPr>
        <w:t xml:space="preserve">Aggregation:</w:t>
      </w:r>
      <w:r>
        <w:t xml:space="preserve"> „To determine the individual values, a mean score must be calculated from the corresponding items.“ (S1a PDF-S. 3).</w:t>
      </w:r>
    </w:p>
    <w:p>
      <w:pPr>
        <w:pStyle w:val="ListParagraph"/>
        <w:numPr>
          <w:ilvl w:val="0"/>
          <w:numId w:val="6"/>
        </w:numPr>
      </w:pPr>
      <w:r>
        <w:rPr>
          <w:b/>
        </w:rPr>
        <w:t xml:space="preserve">Modularität:</w:t>
      </w:r>
      <w:r>
        <w:t xml:space="preserve"> „a modular measurement instrument is understood to be an instrument that consists of various components that can be used separately from one another.“ (S1b S. 2).</w:t>
      </w:r>
    </w:p>
    <w:p>
      <w:pPr>
        <w:pStyle w:val="ListParagraph"/>
        <w:numPr>
          <w:ilvl w:val="0"/>
          <w:numId w:val="6"/>
        </w:numPr>
      </w:pPr>
      <w:r>
        <w:rPr>
          <w:b/>
        </w:rPr>
        <w:t xml:space="preserve">Ausschlüsse:</w:t>
      </w:r>
    </w:p>
    <w:p>
      <w:pPr>
        <w:pStyle w:val="ListParagraph"/>
        <w:numPr>
          <w:ilvl w:val="1"/>
          <w:numId w:val="7"/>
        </w:numPr>
      </w:pPr>
      <w:r>
        <w:t xml:space="preserve">34 Items aus dem Itempool entfernt (Bezug: Pool von 56 + 12 Items, S1b S. 6).</w:t>
      </w:r>
    </w:p>
    <w:p>
      <w:pPr>
        <w:pStyle w:val="ListParagraph"/>
        <w:numPr>
          <w:ilvl w:val="1"/>
          <w:numId w:val="7"/>
        </w:numPr>
      </w:pPr>
      <w:r>
        <w:t xml:space="preserve">„Create AI should be operationalized as a separate skill that is related to, but not an inherent part of, AI literacy“ (S1b S. 7).</w:t>
      </w:r>
    </w:p>
    <w:p>
      <w:pPr>
        <w:pStyle w:val="ListParagraph"/>
        <w:numPr>
          <w:ilvl w:val="0"/>
          <w:numId w:val="6"/>
        </w:numPr>
      </w:pPr>
      <w:r>
        <w:rPr>
          <w:b/>
        </w:rPr>
        <w:t xml:space="preserve">Kennwerte</w:t>
      </w:r>
      <w:r>
        <w:t xml:space="preserve"> (alle S1b S. 6): Use &amp; Apply α = 0.93, Know &amp; Understand α = 0.87, AI Problem solving α = 0.84, Learning α = 0.84. Keine Itemkennwerte („The items are omitted“, Fig. 4).</w:t>
      </w:r>
    </w:p>
    <w:p>
      <w:pPr>
        <w:pStyle w:val="ListParagraph"/>
        <w:numPr>
          <w:ilvl w:val="0"/>
          <w:numId w:val="6"/>
        </w:numPr>
      </w:pPr>
      <w:r>
        <w:rPr>
          <w:b/>
        </w:rPr>
        <w:t xml:space="preserve">Einschränkung:</w:t>
      </w:r>
      <w:r>
        <w:t xml:space="preserve"> „it is necessary to consider our approach exploratory“ (S1b S. 8).</w:t>
      </w:r>
    </w:p>
    <w:p>
      <w:pPr>
        <w:pStyle w:val="Heading3"/>
      </w:pPr>
      <w:r>
        <w:t xml:space="preserve">C5 Hypothesen</w:t>
      </w:r>
    </w:p>
    <w:p>
      <w:pPr/>
      <w:r>
        <w:t xml:space="preserve">Keine geprüften Hypothesen. Table 2 (S1b S. 7) enthält Korrelationen ohne formulierte Hypothesen.</w:t>
      </w:r>
    </w:p>
    <w:p>
      <w:pPr>
        <w:pStyle w:val="Heading2"/>
      </w:pPr>
      <w:r>
        <w:t xml:space="preserve">Teil I – 1c Vollinventar: S2 – ATAI</w:t>
      </w:r>
    </w:p>
    <w:p>
      <w:pPr>
        <w:pStyle w:val="Heading3"/>
      </w:pPr>
      <w:r>
        <w:t xml:space="preserve">C1 Definitionen</w:t>
      </w:r>
    </w:p>
    <w:p>
      <w:pPr/>
      <w:r>
        <w:t xml:space="preserve">Acceptance und Fear: Definition nicht in den Quellen enthalten. Operationalisierung: „The two components extracted in the PCAs were labelled Acceptance (items 02, 04) and Fear (items 01, 03, 05).“ (S. 113)</w:t>
      </w:r>
    </w:p>
    <w:p>
      <w:pPr>
        <w:pStyle w:val="Heading3"/>
      </w:pPr>
      <w:r>
        <w:t xml:space="preserve">C2 Items (Tab. 1, S. 112)</w:t>
      </w:r>
    </w:p>
    <w:p>
      <w:pPr/>
      <w:r>
        <w:t xml:space="preserve">Herkunft: „The items of the ATAI scale and the items about specific AI products were developed in German language, translated into Chinese and English, and then back translated into German“ (S. 111).</w:t>
      </w:r>
    </w:p>
    <w:tbl>
      <w:tblPr>
        <w:tblStyle w:val="TableGrid"/>
        <w:tblW w:w="0" w:type="auto"/>
        <w:tblLayout w:type="fixed"/>
        <w:tblLook w:val="04A0" w:firstRow="1" w:lastRow="0" w:firstColumn="0" w:lastColumn="0" w:noHBand="0" w:noVBand="1"/>
      </w:tblPr>
      <w:tblGrid>
        <w:gridCol w:w="720"/>
        <w:gridCol w:w="1423"/>
        <w:gridCol w:w="4060"/>
        <w:gridCol w:w="3156"/>
      </w:tblGrid>
      <w:tr>
        <w:trPr>
          <w:tblHeader/>
        </w:trPr>
        <w:tc>
          <w:tcPr>
            <w:tcW w:w="720" w:type="dxa"/>
            <w:shd w:val="clear" w:color="auto" w:fill="F2F2F2"/>
          </w:tcPr>
          <w:p>
            <w:pPr/>
            <w:r>
              <w:t xml:space="preserve">ID</w:t>
            </w:r>
          </w:p>
        </w:tc>
        <w:tc>
          <w:tcPr>
            <w:tcW w:w="1423" w:type="dxa"/>
            <w:shd w:val="clear" w:color="auto" w:fill="F2F2F2"/>
          </w:tcPr>
          <w:p>
            <w:pPr/>
            <w:r>
              <w:t xml:space="preserve">Konstrukt</w:t>
            </w:r>
          </w:p>
        </w:tc>
        <w:tc>
          <w:tcPr>
            <w:tcW w:w="4060" w:type="dxa"/>
            <w:shd w:val="clear" w:color="auto" w:fill="F2F2F2"/>
          </w:tcPr>
          <w:p>
            <w:pPr/>
            <w:r>
              <w:t xml:space="preserve">DE</w:t>
            </w:r>
          </w:p>
        </w:tc>
        <w:tc>
          <w:tcPr>
            <w:tcW w:w="3156" w:type="dxa"/>
            <w:shd w:val="clear" w:color="auto" w:fill="F2F2F2"/>
          </w:tcPr>
          <w:p>
            <w:pPr/>
            <w:r>
              <w:t xml:space="preserve">EN</w:t>
            </w:r>
          </w:p>
        </w:tc>
      </w:tr>
      <w:tr>
        <w:tc>
          <w:tcPr>
            <w:tcW w:w="720" w:type="dxa"/>
          </w:tcPr>
          <w:p>
            <w:pPr/>
            <w:r>
              <w:t xml:space="preserve">01</w:t>
            </w:r>
          </w:p>
        </w:tc>
        <w:tc>
          <w:tcPr>
            <w:tcW w:w="1423" w:type="dxa"/>
          </w:tcPr>
          <w:p>
            <w:pPr/>
            <w:r>
              <w:t xml:space="preserve">Fear</w:t>
            </w:r>
          </w:p>
        </w:tc>
        <w:tc>
          <w:tcPr>
            <w:tcW w:w="4060" w:type="dxa"/>
          </w:tcPr>
          <w:p>
            <w:pPr/>
            <w:r>
              <w:t xml:space="preserve">Ich habe Angst vor künstlicher Intelligenz.</w:t>
            </w:r>
          </w:p>
        </w:tc>
        <w:tc>
          <w:tcPr>
            <w:tcW w:w="3156" w:type="dxa"/>
          </w:tcPr>
          <w:p>
            <w:pPr/>
            <w:r>
              <w:t xml:space="preserve">I fear artificial intelligence.</w:t>
            </w:r>
          </w:p>
        </w:tc>
      </w:tr>
      <w:tr>
        <w:tc>
          <w:tcPr>
            <w:tcW w:w="720" w:type="dxa"/>
          </w:tcPr>
          <w:p>
            <w:pPr/>
            <w:r>
              <w:t xml:space="preserve">02</w:t>
            </w:r>
          </w:p>
        </w:tc>
        <w:tc>
          <w:tcPr>
            <w:tcW w:w="1423" w:type="dxa"/>
          </w:tcPr>
          <w:p>
            <w:pPr/>
            <w:r>
              <w:t xml:space="preserve">Acceptance</w:t>
            </w:r>
          </w:p>
        </w:tc>
        <w:tc>
          <w:tcPr>
            <w:tcW w:w="4060" w:type="dxa"/>
          </w:tcPr>
          <w:p>
            <w:pPr/>
            <w:r>
              <w:t xml:space="preserve">Ich vertraue künstlicher Intelligenz.</w:t>
            </w:r>
          </w:p>
        </w:tc>
        <w:tc>
          <w:tcPr>
            <w:tcW w:w="3156" w:type="dxa"/>
          </w:tcPr>
          <w:p>
            <w:pPr/>
            <w:r>
              <w:t xml:space="preserve">I trust artificial intelligence.</w:t>
            </w:r>
          </w:p>
        </w:tc>
      </w:tr>
      <w:tr>
        <w:tc>
          <w:tcPr>
            <w:tcW w:w="720" w:type="dxa"/>
          </w:tcPr>
          <w:p>
            <w:pPr/>
            <w:r>
              <w:t xml:space="preserve">03</w:t>
            </w:r>
          </w:p>
        </w:tc>
        <w:tc>
          <w:tcPr>
            <w:tcW w:w="1423" w:type="dxa"/>
          </w:tcPr>
          <w:p>
            <w:pPr/>
            <w:r>
              <w:t xml:space="preserve">Fear</w:t>
            </w:r>
          </w:p>
        </w:tc>
        <w:tc>
          <w:tcPr>
            <w:tcW w:w="4060" w:type="dxa"/>
          </w:tcPr>
          <w:p>
            <w:pPr/>
            <w:r>
              <w:t xml:space="preserve">Künstliche Intelligenz wird die Menschheit zerstören.</w:t>
            </w:r>
          </w:p>
        </w:tc>
        <w:tc>
          <w:tcPr>
            <w:tcW w:w="3156" w:type="dxa"/>
          </w:tcPr>
          <w:p>
            <w:pPr/>
            <w:r>
              <w:t xml:space="preserve">Artificial intelligence will destroy humankind.</w:t>
            </w:r>
          </w:p>
        </w:tc>
      </w:tr>
      <w:tr>
        <w:tc>
          <w:tcPr>
            <w:tcW w:w="720" w:type="dxa"/>
          </w:tcPr>
          <w:p>
            <w:pPr/>
            <w:r>
              <w:t xml:space="preserve">04</w:t>
            </w:r>
          </w:p>
        </w:tc>
        <w:tc>
          <w:tcPr>
            <w:tcW w:w="1423" w:type="dxa"/>
          </w:tcPr>
          <w:p>
            <w:pPr/>
            <w:r>
              <w:t xml:space="preserve">Acceptance</w:t>
            </w:r>
          </w:p>
        </w:tc>
        <w:tc>
          <w:tcPr>
            <w:tcW w:w="4060" w:type="dxa"/>
          </w:tcPr>
          <w:p>
            <w:pPr/>
            <w:r>
              <w:t xml:space="preserve">Künstliche Intelligenz wird eine Bereicherung für die Menschheit sein.</w:t>
            </w:r>
          </w:p>
        </w:tc>
        <w:tc>
          <w:tcPr>
            <w:tcW w:w="3156" w:type="dxa"/>
          </w:tcPr>
          <w:p>
            <w:pPr/>
            <w:r>
              <w:t xml:space="preserve">Artificial intelligence will benefit humankind.</w:t>
            </w:r>
          </w:p>
        </w:tc>
      </w:tr>
      <w:tr>
        <w:tc>
          <w:tcPr>
            <w:tcW w:w="720" w:type="dxa"/>
          </w:tcPr>
          <w:p>
            <w:pPr/>
            <w:r>
              <w:t xml:space="preserve">05</w:t>
            </w:r>
          </w:p>
        </w:tc>
        <w:tc>
          <w:tcPr>
            <w:tcW w:w="1423" w:type="dxa"/>
          </w:tcPr>
          <w:p>
            <w:pPr/>
            <w:r>
              <w:t xml:space="preserve">Fear</w:t>
            </w:r>
          </w:p>
        </w:tc>
        <w:tc>
          <w:tcPr>
            <w:tcW w:w="4060" w:type="dxa"/>
          </w:tcPr>
          <w:p>
            <w:pPr/>
            <w:r>
              <w:t xml:space="preserve">Künstliche Intelligenz wird für viel Arbeitslosigkeit sorgen.</w:t>
            </w:r>
          </w:p>
        </w:tc>
        <w:tc>
          <w:tcPr>
            <w:tcW w:w="3156" w:type="dxa"/>
          </w:tcPr>
          <w:p>
            <w:pPr/>
            <w:r>
              <w:t xml:space="preserve">Artificial intelligence will cause many job losses.</w:t>
            </w:r>
          </w:p>
        </w:tc>
      </w:tr>
    </w:tbl>
    <w:p>
      <w:pPr>
        <w:pStyle w:val="Heading3"/>
      </w:pPr>
      <w:r>
        <w:t xml:space="preserve">C3 Messverfahren</w:t>
      </w:r>
    </w:p>
    <w:p>
      <w:pPr>
        <w:pStyle w:val="ListParagraph"/>
        <w:numPr>
          <w:ilvl w:val="0"/>
          <w:numId w:val="8"/>
        </w:numPr>
      </w:pPr>
      <w:r>
        <w:rPr>
          <w:b/>
        </w:rPr>
        <w:t xml:space="preserve">Skala:</w:t>
      </w:r>
      <w:r>
        <w:t xml:space="preserve"> „An 11-point Likert scale ranging from 0=“strongly disagree” to 10=“strongly agree” was used as response scale.“ (S. 111–112). Deutsche Anker: nicht in den Quellen enthalten.</w:t>
      </w:r>
    </w:p>
    <w:p>
      <w:pPr>
        <w:pStyle w:val="ListParagraph"/>
        <w:numPr>
          <w:ilvl w:val="0"/>
          <w:numId w:val="8"/>
        </w:numPr>
      </w:pPr>
      <w:r>
        <w:rPr>
          <w:b/>
        </w:rPr>
        <w:t xml:space="preserve">Begründung der Skala:</w:t>
      </w:r>
      <w:r>
        <w:t xml:space="preserve"> „An 11-point Likert scale was used to get a fine-grained picture with respect to a person’s attitude towards AI, in particular as a short measure was constructed, here.“ (S. 112).</w:t>
      </w:r>
    </w:p>
    <w:p>
      <w:pPr>
        <w:pStyle w:val="ListParagraph"/>
        <w:numPr>
          <w:ilvl w:val="0"/>
          <w:numId w:val="8"/>
        </w:numPr>
      </w:pPr>
      <w:r>
        <w:rPr>
          <w:b/>
        </w:rPr>
        <w:t xml:space="preserve">Andere Skalierungen:</w:t>
      </w:r>
      <w:r>
        <w:t xml:space="preserve"> „Explicitly, it is mentioned that future research endeavors should check if other forms of Likert scaling are more appropriate in the context of the present scale.“ (S. 112). Das ist ein Prüfhinweis, keine Eignungsaussage.</w:t>
      </w:r>
    </w:p>
    <w:p>
      <w:pPr>
        <w:pStyle w:val="ListParagraph"/>
        <w:numPr>
          <w:ilvl w:val="0"/>
          <w:numId w:val="8"/>
        </w:numPr>
      </w:pPr>
      <w:r>
        <w:rPr>
          <w:b/>
        </w:rPr>
        <w:t xml:space="preserve">Blockreihenfolge:</w:t>
      </w:r>
      <w:r>
        <w:t xml:space="preserve"> „Please note that in the initial online survey (which is presented in the main manuscript) the items on AI products were presented before the ATAI scale.“ (S. 112).</w:t>
      </w:r>
    </w:p>
    <w:p>
      <w:pPr>
        <w:pStyle w:val="ListParagraph"/>
        <w:numPr>
          <w:ilvl w:val="0"/>
          <w:numId w:val="8"/>
        </w:numPr>
      </w:pPr>
      <w:r>
        <w:rPr>
          <w:b/>
        </w:rPr>
        <w:t xml:space="preserve">Instruktion:</w:t>
      </w:r>
      <w:r>
        <w:t xml:space="preserve"> nicht in den Quellen enthalten.</w:t>
      </w:r>
    </w:p>
    <w:p>
      <w:pPr>
        <w:pStyle w:val="Heading3"/>
      </w:pPr>
      <w:r>
        <w:t xml:space="preserve">C4 Modell</w:t>
      </w:r>
    </w:p>
    <w:p>
      <w:pPr>
        <w:pStyle w:val="ListParagraph"/>
        <w:numPr>
          <w:ilvl w:val="0"/>
          <w:numId w:val="9"/>
        </w:numPr>
      </w:pPr>
      <w:r>
        <w:rPr>
          <w:b/>
        </w:rPr>
        <w:t xml:space="preserve">Aggregation:</w:t>
      </w:r>
      <w:r>
        <w:t xml:space="preserve"> nicht wörtlich in den Quellen enthalten (Tab. 3 berichtet Skalenwerte im Bereich 0–10).</w:t>
      </w:r>
    </w:p>
    <w:p>
      <w:pPr>
        <w:pStyle w:val="ListParagraph"/>
        <w:numPr>
          <w:ilvl w:val="0"/>
          <w:numId w:val="9"/>
        </w:numPr>
      </w:pPr>
      <w:r>
        <w:rPr>
          <w:b/>
        </w:rPr>
        <w:t xml:space="preserve">Kennwerte, Ladungen Deutschland</w:t>
      </w:r>
      <w:r>
        <w:t xml:space="preserve"> (Tab. 2, S. 113): 02 = 0.69, 04 = 0.71, 01 = 0.83, 03 = 0.64, 05 = 0.42.</w:t>
      </w:r>
    </w:p>
    <w:p>
      <w:pPr>
        <w:pStyle w:val="ListParagraph"/>
        <w:numPr>
          <w:ilvl w:val="0"/>
          <w:numId w:val="9"/>
        </w:numPr>
      </w:pPr>
      <w:r>
        <w:rPr>
          <w:b/>
        </w:rPr>
        <w:t xml:space="preserve">Reliabilität:</w:t>
      </w:r>
      <w:r>
        <w:t xml:space="preserve"> „The internal consistencies of the Acceptance and Fear scales were α=0.65 and α=0.66 in the German sample“ (S. 114).</w:t>
      </w:r>
    </w:p>
    <w:p>
      <w:pPr>
        <w:pStyle w:val="ListParagraph"/>
        <w:numPr>
          <w:ilvl w:val="0"/>
          <w:numId w:val="9"/>
        </w:numPr>
      </w:pPr>
      <w:r>
        <w:rPr>
          <w:b/>
        </w:rPr>
        <w:t xml:space="preserve">Item 05:</w:t>
      </w:r>
      <w:r>
        <w:t xml:space="preserve"> „A decision was made to keep the item for further analyses given the acceptable model fit for the samples from Germany and the UK.“ (S. 113). Dazu: „future researchers need to decide on the inclusion or exclusion of the fifth item by taking into account specific sample characteristics.“ (S. 116).</w:t>
      </w:r>
    </w:p>
    <w:p>
      <w:pPr>
        <w:pStyle w:val="Heading3"/>
      </w:pPr>
      <w:r>
        <w:t xml:space="preserve">C5 Hypothesen</w:t>
      </w:r>
    </w:p>
    <w:p>
      <w:pPr>
        <w:pStyle w:val="ListParagraph"/>
        <w:numPr>
          <w:ilvl w:val="0"/>
          <w:numId w:val="10"/>
        </w:numPr>
      </w:pPr>
      <w:r>
        <w:t xml:space="preserve">Validierungserwartung: „we expect a more positive attitude towards AI to be associated with a higher willingness to use such AI products.“ (S. 111).</w:t>
      </w:r>
    </w:p>
    <w:p>
      <w:pPr>
        <w:pStyle w:val="ListParagraph"/>
        <w:numPr>
          <w:ilvl w:val="0"/>
          <w:numId w:val="10"/>
        </w:numPr>
      </w:pPr>
      <w:r>
        <w:t xml:space="preserve">Ergebnis: Acceptance rs = 0.31–0.47, Fear rs = −0.12 bis −0.25 (Deutschland, Tab. 4, S. 114).</w:t>
      </w:r>
    </w:p>
    <w:p>
      <w:pPr>
        <w:pStyle w:val="ListParagraph"/>
        <w:numPr>
          <w:ilvl w:val="0"/>
          <w:numId w:val="10"/>
        </w:numPr>
      </w:pPr>
      <w:r>
        <w:t xml:space="preserve">Die Kriteriumsitems sind nicht wörtlich in den Quellen enthalten.</w:t>
      </w:r>
    </w:p>
    <w:p>
      <w:pPr>
        <w:pStyle w:val="Heading2"/>
      </w:pPr>
      <w:r>
        <w:t xml:space="preserve">Teil I – 1c Vollinventar: P3 – TTF (P3 + D1-F3)</w:t>
      </w:r>
    </w:p>
    <w:p>
      <w:pPr>
        <w:pStyle w:val="Heading3"/>
      </w:pPr>
      <w:r>
        <w:t xml:space="preserve">C1 Definitionen</w:t>
      </w:r>
    </w:p>
    <w:tbl>
      <w:tblPr>
        <w:tblStyle w:val="TableGrid"/>
        <w:tblW w:w="0" w:type="auto"/>
        <w:tblLayout w:type="fixed"/>
        <w:tblLook w:val="04A0" w:firstRow="1" w:lastRow="0" w:firstColumn="0" w:lastColumn="0" w:noHBand="0" w:noVBand="1"/>
      </w:tblPr>
      <w:tblGrid>
        <w:gridCol w:w="2094"/>
        <w:gridCol w:w="3588"/>
        <w:gridCol w:w="2334"/>
        <w:gridCol w:w="1344"/>
      </w:tblGrid>
      <w:tr>
        <w:trPr>
          <w:tblHeader/>
        </w:trPr>
        <w:tc>
          <w:tcPr>
            <w:tcW w:w="2094" w:type="dxa"/>
            <w:shd w:val="clear" w:color="auto" w:fill="F2F2F2"/>
          </w:tcPr>
          <w:p>
            <w:pPr/>
            <w:r>
              <w:t xml:space="preserve">Konstrukt</w:t>
            </w:r>
          </w:p>
        </w:tc>
        <w:tc>
          <w:tcPr>
            <w:tcW w:w="3588" w:type="dxa"/>
            <w:shd w:val="clear" w:color="auto" w:fill="F2F2F2"/>
          </w:tcPr>
          <w:p>
            <w:pPr/>
            <w:r>
              <w:t xml:space="preserve">Definition</w:t>
            </w:r>
          </w:p>
        </w:tc>
        <w:tc>
          <w:tcPr>
            <w:tcW w:w="2334" w:type="dxa"/>
            <w:shd w:val="clear" w:color="auto" w:fill="F2F2F2"/>
          </w:tcPr>
          <w:p>
            <w:pPr/>
            <w:r>
              <w:t xml:space="preserve">primär / zit. n.</w:t>
            </w:r>
          </w:p>
        </w:tc>
        <w:tc>
          <w:tcPr>
            <w:tcW w:w="1344" w:type="dxa"/>
            <w:shd w:val="clear" w:color="auto" w:fill="F2F2F2"/>
          </w:tcPr>
          <w:p>
            <w:pPr/>
            <w:r>
              <w:t xml:space="preserve">Fundstelle</w:t>
            </w:r>
          </w:p>
        </w:tc>
      </w:tr>
      <w:tr>
        <w:tc>
          <w:tcPr>
            <w:tcW w:w="2094" w:type="dxa"/>
          </w:tcPr>
          <w:p>
            <w:pPr/>
            <w:r>
              <w:t xml:space="preserve">TTF (antizipiert)</w:t>
            </w:r>
          </w:p>
        </w:tc>
        <w:tc>
          <w:tcPr>
            <w:tcW w:w="3588" w:type="dxa"/>
          </w:tcPr>
          <w:p>
            <w:pPr/>
            <w:r>
              <w:t xml:space="preserve">„anticipated fit (users’ subjective expectation of usefulness)“</w:t>
            </w:r>
          </w:p>
        </w:tc>
        <w:tc>
          <w:tcPr>
            <w:tcW w:w="2334" w:type="dxa"/>
          </w:tcPr>
          <w:p>
            <w:pPr/>
            <w:r>
              <w:t xml:space="preserve">primär</w:t>
            </w:r>
          </w:p>
        </w:tc>
        <w:tc>
          <w:tcPr>
            <w:tcW w:w="1344" w:type="dxa"/>
          </w:tcPr>
          <w:p>
            <w:pPr/>
            <w:r>
              <w:t xml:space="preserve">S. 321</w:t>
            </w:r>
          </w:p>
        </w:tc>
      </w:tr>
      <w:tr>
        <w:tc>
          <w:tcPr>
            <w:tcW w:w="2094" w:type="dxa"/>
          </w:tcPr>
          <w:p>
            <w:pPr/>
            <w:r>
              <w:t xml:space="preserve">BI</w:t>
            </w:r>
          </w:p>
        </w:tc>
        <w:tc>
          <w:tcPr>
            <w:tcW w:w="3588" w:type="dxa"/>
          </w:tcPr>
          <w:p>
            <w:pPr/>
            <w:r>
              <w:t xml:space="preserve">nicht in den Quellen enthalten</w:t>
            </w:r>
          </w:p>
        </w:tc>
        <w:tc>
          <w:tcPr>
            <w:tcW w:w="2334" w:type="dxa"/>
          </w:tcPr>
          <w:p>
            <w:pPr/>
            <w:r>
              <w:t xml:space="preserve">–</w:t>
            </w:r>
          </w:p>
        </w:tc>
        <w:tc>
          <w:tcPr>
            <w:tcW w:w="1344" w:type="dxa"/>
          </w:tcPr>
          <w:p>
            <w:pPr/>
            <w:r>
              <w:t xml:space="preserve">–</w:t>
            </w:r>
          </w:p>
        </w:tc>
      </w:tr>
      <w:tr>
        <w:tc>
          <w:tcPr>
            <w:tcW w:w="2094" w:type="dxa"/>
          </w:tcPr>
          <w:p>
            <w:pPr/>
            <w:r>
              <w:t xml:space="preserve">PERF</w:t>
            </w:r>
          </w:p>
        </w:tc>
        <w:tc>
          <w:tcPr>
            <w:tcW w:w="3588" w:type="dxa"/>
          </w:tcPr>
          <w:p>
            <w:pPr/>
            <w:r>
              <w:t xml:space="preserve">nicht in den Quellen enthalten</w:t>
            </w:r>
          </w:p>
        </w:tc>
        <w:tc>
          <w:tcPr>
            <w:tcW w:w="2334" w:type="dxa"/>
          </w:tcPr>
          <w:p>
            <w:pPr/>
            <w:r>
              <w:t xml:space="preserve">–</w:t>
            </w:r>
          </w:p>
        </w:tc>
        <w:tc>
          <w:tcPr>
            <w:tcW w:w="1344" w:type="dxa"/>
          </w:tcPr>
          <w:p>
            <w:pPr/>
            <w:r>
              <w:t xml:space="preserve">–</w:t>
            </w:r>
          </w:p>
        </w:tc>
      </w:tr>
      <w:tr>
        <w:tc>
          <w:tcPr>
            <w:tcW w:w="2094" w:type="dxa"/>
          </w:tcPr>
          <w:p>
            <w:pPr/>
            <w:r>
              <w:t xml:space="preserve">TC-Aufgabenarten</w:t>
            </w:r>
          </w:p>
        </w:tc>
        <w:tc>
          <w:tcPr>
            <w:tcW w:w="3588" w:type="dxa"/>
          </w:tcPr>
          <w:p>
            <w:pPr/>
            <w:r>
              <w:t xml:space="preserve">z. B. „planning tasks, which aim to develop coherent action plans“; „intellective tasks, which require objectively correct solutions“</w:t>
            </w:r>
          </w:p>
        </w:tc>
        <w:tc>
          <w:tcPr>
            <w:tcW w:w="2334" w:type="dxa"/>
          </w:tcPr>
          <w:p>
            <w:pPr/>
            <w:r>
              <w:t xml:space="preserve">zit. n. McGrath (1984); im Literaturverzeichnis enthalten</w:t>
            </w:r>
          </w:p>
        </w:tc>
        <w:tc>
          <w:tcPr>
            <w:tcW w:w="1344" w:type="dxa"/>
          </w:tcPr>
          <w:p>
            <w:pPr/>
            <w:r>
              <w:t xml:space="preserve">S. 320</w:t>
            </w:r>
          </w:p>
        </w:tc>
      </w:tr>
    </w:tbl>
    <w:p>
      <w:pPr>
        <w:pStyle w:val="Heading3"/>
      </w:pPr>
      <w:r>
        <w:t xml:space="preserve">C2 Items</w:t>
      </w:r>
    </w:p>
    <w:p>
      <w:pPr>
        <w:pStyle w:val="ListParagraph"/>
        <w:numPr>
          <w:ilvl w:val="0"/>
          <w:numId w:val="11"/>
        </w:numPr>
      </w:pPr>
      <w:r>
        <w:t xml:space="preserve">Herkunft TC: „based on McGrath’s (1984) Group Task Circumplex“ (S. 322).</w:t>
      </w:r>
    </w:p>
    <w:p>
      <w:pPr>
        <w:pStyle w:val="ListParagraph"/>
        <w:numPr>
          <w:ilvl w:val="0"/>
          <w:numId w:val="11"/>
        </w:numPr>
      </w:pPr>
      <w:r>
        <w:t xml:space="preserve">Herkunft BI/PERF: „BI (3 items) was adapted from UTAUT (Venkatesh et al., 2003), and PERF (3 items) from the original TTF model (Goodhue &amp; Thompson, 1995).“ (S. 322).</w:t>
      </w:r>
    </w:p>
    <w:p>
      <w:pPr>
        <w:pStyle w:val="ListParagraph"/>
        <w:numPr>
          <w:ilvl w:val="0"/>
          <w:numId w:val="11"/>
        </w:numPr>
      </w:pPr>
      <w:r>
        <w:t xml:space="preserve">Herkunft TTF-Items: nicht in den Quellen enthalten.</w:t>
      </w:r>
    </w:p>
    <w:p>
      <w:pPr>
        <w:pStyle w:val="ListParagraph"/>
        <w:numPr>
          <w:ilvl w:val="0"/>
          <w:numId w:val="11"/>
        </w:numPr>
      </w:pPr>
      <w:r>
        <w:t xml:space="preserve">Herkunft TeC: „adapted from established scales (Poeschl &amp; Doering, 2015; Witmer &amp; Singer, 1998)“ (S. 322).</w:t>
      </w:r>
    </w:p>
    <w:p>
      <w:pPr>
        <w:pStyle w:val="ListParagraph"/>
        <w:numPr>
          <w:ilvl w:val="0"/>
          <w:numId w:val="11"/>
        </w:numPr>
      </w:pPr>
      <w:r>
        <w:t xml:space="preserve">Itemstämme: TC „Ich arbeite an Aufgaben, …“; TTF „Ich denke, dass Virtual Reality meine Aufgaben unterstützen kann, …“.</w:t>
      </w:r>
    </w:p>
    <w:p>
      <w:pPr>
        <w:pStyle w:val="ListParagraph"/>
        <w:numPr>
          <w:ilvl w:val="0"/>
          <w:numId w:val="11"/>
        </w:numPr>
      </w:pPr>
      <w:r>
        <w:t xml:space="preserve">Der vollständige DE/EN-Wortlaut der 24 TC-, 24 TTF-, 3 BI- und 3 PERF-Items steht in D1-F3. Die DE-Fassung wird in Tabelle B je Item als Original wiedergegeben.</w:t>
      </w:r>
    </w:p>
    <w:p>
      <w:pPr>
        <w:pStyle w:val="ListParagraph"/>
        <w:numPr>
          <w:ilvl w:val="0"/>
          <w:numId w:val="11"/>
        </w:numPr>
      </w:pPr>
      <w:r>
        <w:t xml:space="preserve">Die 9 TeC-Items sind VR-spezifisch (Immersion, Interactivity, Social Presence) und werden nicht verwendet. ⚠ Ihr Wortlaut ist hier nicht einzeln aufgeführt.</w:t>
      </w:r>
    </w:p>
    <w:p>
      <w:pPr>
        <w:pStyle w:val="Heading3"/>
      </w:pPr>
      <w:r>
        <w:t xml:space="preserve">C3 Messverfahren</w:t>
      </w:r>
    </w:p>
    <w:p>
      <w:pPr>
        <w:pStyle w:val="ListParagraph"/>
        <w:numPr>
          <w:ilvl w:val="0"/>
          <w:numId w:val="12"/>
        </w:numPr>
      </w:pPr>
      <w:r>
        <w:rPr>
          <w:b/>
        </w:rPr>
        <w:t xml:space="preserve">TC:</w:t>
      </w:r>
      <w:r>
        <w:t xml:space="preserve"> „using a six-point frequency scale (1 = “never”, 6 = “daily”)“ (S. 322). Labels in D1: Never / Yearly / Semi-annually / Monthly / Weekly / Daily.</w:t>
      </w:r>
    </w:p>
    <w:p>
      <w:pPr>
        <w:pStyle w:val="ListParagraph"/>
        <w:numPr>
          <w:ilvl w:val="0"/>
          <w:numId w:val="12"/>
        </w:numPr>
      </w:pPr>
      <w:r>
        <w:rPr>
          <w:b/>
        </w:rPr>
        <w:t xml:space="preserve">Übrige Konstrukte:</w:t>
      </w:r>
      <w:r>
        <w:t xml:space="preserve"> „All constructs except TC were measured on a five-point Likert scale (1 = “strongly disagree” to 5 = “strongly agree”).“ (S. 322).</w:t>
      </w:r>
    </w:p>
    <w:p>
      <w:pPr>
        <w:pStyle w:val="ListParagraph"/>
        <w:numPr>
          <w:ilvl w:val="0"/>
          <w:numId w:val="12"/>
        </w:numPr>
      </w:pPr>
      <w:r>
        <w:rPr>
          <w:b/>
        </w:rPr>
        <w:t xml:space="preserve">Begründung der Skala / andere Skalierungen:</w:t>
      </w:r>
      <w:r>
        <w:t xml:space="preserve"> nicht in den Quellen enthalten.</w:t>
      </w:r>
    </w:p>
    <w:p>
      <w:pPr>
        <w:pStyle w:val="ListParagraph"/>
        <w:numPr>
          <w:ilvl w:val="0"/>
          <w:numId w:val="12"/>
        </w:numPr>
      </w:pPr>
      <w:r>
        <w:rPr>
          <w:b/>
        </w:rPr>
        <w:t xml:space="preserve">Filter:</w:t>
      </w:r>
      <w:r>
        <w:t xml:space="preserve"> „only those task types reported as performed at least monthly (response ≥ 4 on the 6-point frequency scale) were followed by corresponding fit items.“ (S. 322).</w:t>
      </w:r>
    </w:p>
    <w:p>
      <w:pPr>
        <w:pStyle w:val="ListParagraph"/>
        <w:numPr>
          <w:ilvl w:val="0"/>
          <w:numId w:val="12"/>
        </w:numPr>
      </w:pPr>
      <w:r>
        <w:rPr>
          <w:b/>
        </w:rPr>
        <w:t xml:space="preserve">Szenario:</w:t>
      </w:r>
      <w:r>
        <w:t xml:space="preserve"> „VR was introduced as a prospective work tool through descriptions that used text and images“ (S. 322). D1-F3 gliedert in 4 Abschnitte: General Description, User Perception Perspective, Interaction, Use Context. Dazu kommen Abbildungen, eine davon mit Aufmerksamkeitscheck.</w:t>
      </w:r>
    </w:p>
    <w:p>
      <w:pPr>
        <w:pStyle w:val="ListParagraph"/>
        <w:numPr>
          <w:ilvl w:val="0"/>
          <w:numId w:val="12"/>
        </w:numPr>
      </w:pPr>
      <w:r>
        <w:rPr>
          <w:b/>
        </w:rPr>
        <w:t xml:space="preserve">Blockreihenfolge</w:t>
      </w:r>
      <w:r>
        <w:t xml:space="preserve"> (D1-F3): TC → Technologiebeschreibung → TeC → TTF (8 Aufgabenarten) → BI → PERF („Bitte geben Sie abschließend …“).</w:t>
      </w:r>
    </w:p>
    <w:p>
      <w:pPr>
        <w:pStyle w:val="Heading3"/>
      </w:pPr>
      <w:r>
        <w:t xml:space="preserve">C4 Modell</w:t>
      </w:r>
    </w:p>
    <w:p>
      <w:pPr>
        <w:pStyle w:val="ListParagraph"/>
        <w:numPr>
          <w:ilvl w:val="0"/>
          <w:numId w:val="13"/>
        </w:numPr>
      </w:pPr>
      <w:r>
        <w:rPr>
          <w:b/>
        </w:rPr>
        <w:t xml:space="preserve">TC:</w:t>
      </w:r>
      <w:r>
        <w:t xml:space="preserve"> Type-II-Konstrukt höherer Ordnung, formativ.</w:t>
      </w:r>
    </w:p>
    <w:p>
      <w:pPr>
        <w:pStyle w:val="ListParagraph"/>
        <w:numPr>
          <w:ilvl w:val="1"/>
          <w:numId w:val="14"/>
        </w:numPr>
      </w:pPr>
      <w:r>
        <w:t xml:space="preserve">Ausschluss 1: „The item TC_Performance_3 was removed due to low and non-relevant loading“ (S. 323). Bezug: TC.</w:t>
      </w:r>
    </w:p>
    <w:p>
      <w:pPr>
        <w:pStyle w:val="ListParagraph"/>
        <w:numPr>
          <w:ilvl w:val="1"/>
          <w:numId w:val="14"/>
        </w:numPr>
      </w:pPr>
      <w:r>
        <w:t xml:space="preserve">Ausschluss 2: „the LVS indicators Planning, Judgmental, Performance, and Intellective were excluded due to insufficient loading or significance, resulting in a final TC construct“ (S. 323). Bezug: TC.</w:t>
      </w:r>
    </w:p>
    <w:p>
      <w:pPr>
        <w:pStyle w:val="ListParagraph"/>
        <w:numPr>
          <w:ilvl w:val="0"/>
          <w:numId w:val="13"/>
        </w:numPr>
      </w:pPr>
      <w:r>
        <w:rPr>
          <w:b/>
        </w:rPr>
        <w:t xml:space="preserve">TTF:</w:t>
      </w:r>
      <w:r>
        <w:t xml:space="preserve"> „TTF was modeled as a participant-specific single-indicator variable, calculated in IBM SPSS Statistics as the mean of all TTF items linked to task types that were objectively deemed relevant“ (S. 323). Damit Einzelindikator, alle 8 Aufgabenarten.</w:t>
      </w:r>
    </w:p>
    <w:p>
      <w:pPr>
        <w:pStyle w:val="ListParagraph"/>
        <w:numPr>
          <w:ilvl w:val="0"/>
          <w:numId w:val="13"/>
        </w:numPr>
      </w:pPr>
      <w:r>
        <w:rPr>
          <w:b/>
        </w:rPr>
        <w:t xml:space="preserve">BI, PERF:</w:t>
      </w:r>
      <w:r>
        <w:t xml:space="preserve"> reflektiv. Kennwerte nur pauschal: „all outer loadings for reflective constructs exceeding the 0.708 threshold“ (S. 323). Keine Itemkennwerte (Anhang OSF nicht enthalten).</w:t>
      </w:r>
    </w:p>
    <w:p>
      <w:pPr>
        <w:pStyle w:val="Heading3"/>
      </w:pPr>
      <w:r>
        <w:t xml:space="preserve">C5 Hypothesen</w:t>
      </w:r>
    </w:p>
    <w:tbl>
      <w:tblPr>
        <w:tblStyle w:val="TableGrid"/>
        <w:tblW w:w="0" w:type="auto"/>
        <w:tblLayout w:type="fixed"/>
        <w:tblLook w:val="04A0" w:firstRow="1" w:lastRow="0" w:firstColumn="0" w:lastColumn="0" w:noHBand="0" w:noVBand="1"/>
      </w:tblPr>
      <w:tblGrid>
        <w:gridCol w:w="720"/>
        <w:gridCol w:w="1630"/>
        <w:gridCol w:w="1170"/>
        <w:gridCol w:w="1170"/>
        <w:gridCol w:w="1170"/>
        <w:gridCol w:w="1160"/>
        <w:gridCol w:w="1170"/>
        <w:gridCol w:w="1170"/>
      </w:tblGrid>
      <w:tr>
        <w:trPr>
          <w:tblHeader/>
        </w:trPr>
        <w:tc>
          <w:tcPr>
            <w:tcW w:w="720" w:type="dxa"/>
            <w:shd w:val="clear" w:color="auto" w:fill="F2F2F2"/>
          </w:tcPr>
          <w:p>
            <w:pPr/>
            <w:r>
              <w:t xml:space="preserve">H</w:t>
            </w:r>
          </w:p>
        </w:tc>
        <w:tc>
          <w:tcPr>
            <w:tcW w:w="1630" w:type="dxa"/>
            <w:shd w:val="clear" w:color="auto" w:fill="F2F2F2"/>
          </w:tcPr>
          <w:p>
            <w:pPr/>
            <w:r>
              <w:t xml:space="preserve">Wortlaut</w:t>
            </w:r>
          </w:p>
        </w:tc>
        <w:tc>
          <w:tcPr>
            <w:tcW w:w="1170" w:type="dxa"/>
            <w:shd w:val="clear" w:color="auto" w:fill="F2F2F2"/>
          </w:tcPr>
          <w:p>
            <w:pPr/>
            <w:r>
              <w:t xml:space="preserve">Prädiktor</w:t>
            </w:r>
          </w:p>
        </w:tc>
        <w:tc>
          <w:tcPr>
            <w:tcW w:w="1170" w:type="dxa"/>
            <w:shd w:val="clear" w:color="auto" w:fill="F2F2F2"/>
          </w:tcPr>
          <w:p>
            <w:pPr/>
            <w:r>
              <w:t xml:space="preserve">Kriterium</w:t>
            </w:r>
          </w:p>
        </w:tc>
        <w:tc>
          <w:tcPr>
            <w:tcW w:w="1170" w:type="dxa"/>
            <w:shd w:val="clear" w:color="auto" w:fill="F2F2F2"/>
          </w:tcPr>
          <w:p>
            <w:pPr/>
            <w:r>
              <w:t xml:space="preserve">Herkunft P / K</w:t>
            </w:r>
          </w:p>
        </w:tc>
        <w:tc>
          <w:tcPr>
            <w:tcW w:w="1160" w:type="dxa"/>
            <w:shd w:val="clear" w:color="auto" w:fill="F2F2F2"/>
          </w:tcPr>
          <w:p>
            <w:pPr/>
            <w:r>
              <w:t xml:space="preserve">Ergebnis</w:t>
            </w:r>
          </w:p>
        </w:tc>
        <w:tc>
          <w:tcPr>
            <w:tcW w:w="1170" w:type="dxa"/>
            <w:shd w:val="clear" w:color="auto" w:fill="F2F2F2"/>
          </w:tcPr>
          <w:p>
            <w:pPr/>
            <w:r>
              <w:t xml:space="preserve">weitere Prädiktoren</w:t>
            </w:r>
          </w:p>
        </w:tc>
        <w:tc>
          <w:tcPr>
            <w:tcW w:w="1170" w:type="dxa"/>
            <w:shd w:val="clear" w:color="auto" w:fill="F2F2F2"/>
          </w:tcPr>
          <w:p>
            <w:pPr/>
            <w:r>
              <w:t xml:space="preserve">Fundstelle</w:t>
            </w:r>
          </w:p>
        </w:tc>
      </w:tr>
      <w:tr>
        <w:tc>
          <w:tcPr>
            <w:tcW w:w="720" w:type="dxa"/>
          </w:tcPr>
          <w:p>
            <w:pPr/>
            <w:r>
              <w:t xml:space="preserve">H1</w:t>
            </w:r>
          </w:p>
        </w:tc>
        <w:tc>
          <w:tcPr>
            <w:tcW w:w="1630" w:type="dxa"/>
          </w:tcPr>
          <w:p>
            <w:pPr/>
            <w:r>
              <w:t xml:space="preserve">„TTF is positively associated with perceived individual performance with VR.“</w:t>
            </w:r>
          </w:p>
        </w:tc>
        <w:tc>
          <w:tcPr>
            <w:tcW w:w="1170" w:type="dxa"/>
          </w:tcPr>
          <w:p>
            <w:pPr/>
            <w:r>
              <w:t xml:space="preserve">TTF</w:t>
            </w:r>
          </w:p>
        </w:tc>
        <w:tc>
          <w:tcPr>
            <w:tcW w:w="1170" w:type="dxa"/>
          </w:tcPr>
          <w:p>
            <w:pPr/>
            <w:r>
              <w:t xml:space="preserve">PERF</w:t>
            </w:r>
          </w:p>
        </w:tc>
        <w:tc>
          <w:tcPr>
            <w:tcW w:w="1170" w:type="dxa"/>
          </w:tcPr>
          <w:p>
            <w:pPr/>
            <w:r>
              <w:t xml:space="preserve">nicht enthalten / TTF-Modell (Goodhue &amp; Thompson)</w:t>
            </w:r>
          </w:p>
        </w:tc>
        <w:tc>
          <w:tcPr>
            <w:tcW w:w="1160" w:type="dxa"/>
          </w:tcPr>
          <w:p>
            <w:pPr/>
            <w:r>
              <w:t xml:space="preserve">β = 0.810, p &lt; .001, bestätigt</w:t>
            </w:r>
          </w:p>
        </w:tc>
        <w:tc>
          <w:tcPr>
            <w:tcW w:w="1170" w:type="dxa"/>
          </w:tcPr>
          <w:p>
            <w:pPr/>
            <w:r>
              <w:t xml:space="preserve">keine für PERF; TC, TeC → TTF</w:t>
            </w:r>
          </w:p>
        </w:tc>
        <w:tc>
          <w:tcPr>
            <w:tcW w:w="1170" w:type="dxa"/>
          </w:tcPr>
          <w:p>
            <w:pPr/>
            <w:r>
              <w:t xml:space="preserve">S. 322, 324</w:t>
            </w:r>
          </w:p>
        </w:tc>
      </w:tr>
      <w:tr>
        <w:tc>
          <w:tcPr>
            <w:tcW w:w="720" w:type="dxa"/>
          </w:tcPr>
          <w:p>
            <w:pPr/>
            <w:r>
              <w:t xml:space="preserve">H2</w:t>
            </w:r>
          </w:p>
        </w:tc>
        <w:tc>
          <w:tcPr>
            <w:tcW w:w="1630" w:type="dxa"/>
          </w:tcPr>
          <w:p>
            <w:pPr/>
            <w:r>
              <w:t xml:space="preserve">„TTF is positively associated with the intention to use VR.“</w:t>
            </w:r>
          </w:p>
        </w:tc>
        <w:tc>
          <w:tcPr>
            <w:tcW w:w="1170" w:type="dxa"/>
          </w:tcPr>
          <w:p>
            <w:pPr/>
            <w:r>
              <w:t xml:space="preserve">TTF</w:t>
            </w:r>
          </w:p>
        </w:tc>
        <w:tc>
          <w:tcPr>
            <w:tcW w:w="1170" w:type="dxa"/>
          </w:tcPr>
          <w:p>
            <w:pPr/>
            <w:r>
              <w:t xml:space="preserve">BI</w:t>
            </w:r>
          </w:p>
        </w:tc>
        <w:tc>
          <w:tcPr>
            <w:tcW w:w="1170" w:type="dxa"/>
          </w:tcPr>
          <w:p>
            <w:pPr/>
            <w:r>
              <w:t xml:space="preserve">nicht enthalten / UTAUT</w:t>
            </w:r>
          </w:p>
        </w:tc>
        <w:tc>
          <w:tcPr>
            <w:tcW w:w="1160" w:type="dxa"/>
          </w:tcPr>
          <w:p>
            <w:pPr/>
            <w:r>
              <w:t xml:space="preserve">β = 0.836, p &lt; .001, bestätigt</w:t>
            </w:r>
          </w:p>
        </w:tc>
        <w:tc>
          <w:tcPr>
            <w:tcW w:w="1170" w:type="dxa"/>
          </w:tcPr>
          <w:p>
            <w:pPr/>
            <w:r>
              <w:t xml:space="preserve">keine für BI; TC, TeC → TTF</w:t>
            </w:r>
          </w:p>
        </w:tc>
        <w:tc>
          <w:tcPr>
            <w:tcW w:w="1170" w:type="dxa"/>
          </w:tcPr>
          <w:p>
            <w:pPr/>
            <w:r>
              <w:t xml:space="preserve">S. 322, 324</w:t>
            </w:r>
          </w:p>
        </w:tc>
      </w:tr>
    </w:tbl>
    <w:p>
      <w:pPr>
        <w:pStyle w:val="Heading2"/>
      </w:pPr>
      <w:r>
        <w:t xml:space="preserve">⚠-Markierungen</w:t>
      </w:r>
    </w:p>
    <w:p>
      <w:pPr>
        <w:pStyle w:val="ListParagraph"/>
        <w:numPr>
          <w:ilvl w:val="0"/>
          <w:numId w:val="15"/>
        </w:numPr>
      </w:pPr>
      <w:r>
        <w:t xml:space="preserve">Kopien von P1 und P2 nicht auf Inhaltsgleichheit geprüft; P3-Kopie nur visuell abgeglichen.</w:t>
      </w:r>
    </w:p>
    <w:p>
      <w:pPr>
        <w:pStyle w:val="ListParagraph"/>
        <w:numPr>
          <w:ilvl w:val="0"/>
          <w:numId w:val="15"/>
        </w:numPr>
      </w:pPr>
      <w:r>
        <w:t xml:space="preserve">S1a vs. S1b: Zusatz „everyday“ bei den Items 1–6 und 29–34; Reihenfolge der Items 26/27 vertauscht; Facettennamen „Use &amp; Apply“ vs. „Apply AI“.</w:t>
      </w:r>
    </w:p>
    <w:p>
      <w:pPr>
        <w:pStyle w:val="ListParagraph"/>
        <w:numPr>
          <w:ilvl w:val="0"/>
          <w:numId w:val="15"/>
        </w:numPr>
      </w:pPr>
      <w:r>
        <w:t xml:space="preserve">S1b: Methodenteil verweist auf Ng et al. (2021), der Anhang auf Ng et al. (2022).</w:t>
      </w:r>
    </w:p>
    <w:p>
      <w:pPr>
        <w:pStyle w:val="ListParagraph"/>
        <w:numPr>
          <w:ilvl w:val="0"/>
          <w:numId w:val="15"/>
        </w:numPr>
      </w:pPr>
      <w:r>
        <w:t xml:space="preserve">S1b S. 6: „AI Ethics (Cronbach’s α = 75)“ – Satzfehler in der Quelle.</w:t>
      </w:r>
    </w:p>
    <w:p>
      <w:pPr>
        <w:pStyle w:val="ListParagraph"/>
        <w:numPr>
          <w:ilvl w:val="0"/>
          <w:numId w:val="15"/>
        </w:numPr>
      </w:pPr>
      <w:r>
        <w:t xml:space="preserve">S2: Im Textextrakt fehlen fi-Ligaturen („artifcial“). Die Zitate sind mit „fi“ wiedergegeben; ⚠ nicht am PDF-Bild geprüft.</w:t>
      </w:r>
    </w:p>
    <w:p>
      <w:pPr>
        <w:pStyle w:val="ListParagraph"/>
        <w:numPr>
          <w:ilvl w:val="0"/>
          <w:numId w:val="15"/>
        </w:numPr>
      </w:pPr>
      <w:r>
        <w:t xml:space="preserve">P3: „60 closed-ended items“ (S. 322) vs. 24 + 9 + 24 + 3 + 3 = 63 Items in D1-F3.</w:t>
      </w:r>
    </w:p>
    <w:p>
      <w:pPr>
        <w:pStyle w:val="ListParagraph"/>
        <w:numPr>
          <w:ilvl w:val="0"/>
          <w:numId w:val="15"/>
        </w:numPr>
      </w:pPr>
      <w:r>
        <w:t xml:space="preserve">D1-F3 TTF: DE-Items im Indikativ („kann“), EN im Konjunktiv („could“); die DE-Blockfragen stehen im Konjunktiv („könnte“).</w:t>
      </w:r>
    </w:p>
    <w:p>
      <w:pPr>
        <w:pStyle w:val="ListParagraph"/>
        <w:numPr>
          <w:ilvl w:val="0"/>
          <w:numId w:val="15"/>
        </w:numPr>
      </w:pPr>
      <w:r>
        <w:t xml:space="preserve">D1-F3 Performance-3: TTF „strikt vordefinierten Abläufen“ vs. TC „vordefinierten Abläufen“.</w:t>
      </w:r>
    </w:p>
    <w:p>
      <w:pPr>
        <w:pStyle w:val="ListParagraph"/>
        <w:numPr>
          <w:ilvl w:val="0"/>
          <w:numId w:val="15"/>
        </w:numPr>
      </w:pPr>
      <w:r>
        <w:t xml:space="preserve">D1-F3 Mixed-Motive-3: TTF „gemeinsam mit anderen Lösungen aushandeln“ vs. TC „Verteilung begrenzter Ressourcen verhandelt“.</w:t>
      </w:r>
    </w:p>
    <w:p>
      <w:pPr>
        <w:pStyle w:val="ListParagraph"/>
        <w:numPr>
          <w:ilvl w:val="0"/>
          <w:numId w:val="15"/>
        </w:numPr>
      </w:pPr>
      <w:r>
        <w:t xml:space="preserve">D1-F3: Die EN-Beschreibung der Creativity Tasks wiederholt die Planning-Beschreibung; DE ist korrekt.</w:t>
      </w:r>
    </w:p>
    <w:p>
      <w:pPr>
        <w:pStyle w:val="ListParagraph"/>
        <w:numPr>
          <w:ilvl w:val="0"/>
          <w:numId w:val="15"/>
        </w:numPr>
      </w:pPr>
      <w:r>
        <w:t xml:space="preserve">P4 (verworfen): „single measures“ (S. 17) vs. je 3 Items in D1-F4.</w:t>
      </w:r>
    </w:p>
    <w:p>
      <w:pPr>
        <w:pStyle w:val="ListParagraph"/>
        <w:numPr>
          <w:ilvl w:val="0"/>
          <w:numId w:val="15"/>
        </w:numPr>
      </w:pPr>
      <w:r>
        <w:t xml:space="preserve">Alle Zitate stammen aus den Textextrakten der PDFs; ⚠ ein zeichengenauer Abgleich mit dem Druckbild war nicht möglich.</w:t>
      </w:r>
    </w:p>
    <w:p>
      <w:pPr>
        <w:pStyle w:val="Heading2"/>
      </w:pPr>
      <w:r>
        <w:t xml:space="preserve">Teil II – Instruktion</w:t>
      </w:r>
    </w:p>
    <w:p>
      <w:pPr/>
      <w:r>
        <w:rPr>
          <w:b/>
        </w:rPr>
        <w:t xml:space="preserve">Einleitung</w:t>
      </w:r>
      <w:r>
        <w:t xml:space="preserve"> [Modellwissen] Vielen Dank für Ihre Teilnahme. Die Befragung ist anonym; es werden keine Angaben erhoben, die Rückschlüsse auf Ihre Person zulassen. Es gibt keine richtigen oder falschen Antworten – uns interessiert Ihre persönliche Einschätzung.</w:t>
      </w:r>
    </w:p>
    <w:p>
      <w:pPr/>
      <w:r>
        <w:rPr>
          <w:b/>
        </w:rPr>
        <w:t xml:space="preserve">Block 1–2: Fähigkeiten im Umgang mit KI</w:t>
      </w:r>
      <w:r>
        <w:t xml:space="preserve"> (MAILS, Ü aus S1a PDF-S. 1) Im Folgenden lesen Sie Beschreibungen verschiedener Fähigkeiten, die man im Umgang mit künstlicher Intelligenz haben kann. Diese Fähigkeiten können mehr oder weniger stark ausgeprägt sein. Bitte schätzen Sie sich selbst ein: Wie stark sind Ihre Fähigkeiten ausgeprägt? Ein Wert von 0 bedeutet, dass eine Fähigkeit gar nicht oder kaum ausgeprägt ist. Ein Wert von 10 bedeutet, dass eine Fähigkeit sehr gut oder (nahezu) perfekt ausgeprägt ist. Bitte wählen Sie den Wert, der Ihre Fähigkeit am besten beschreibt.</w:t>
      </w:r>
    </w:p>
    <w:p>
      <w:pPr/>
      <w:r>
        <w:rPr>
          <w:b/>
        </w:rPr>
        <w:t xml:space="preserve">Block 3: Einstellung zu KI</w:t>
      </w:r>
      <w:r>
        <w:t xml:space="preserve"> [Modellwissen] Bitte geben Sie an, inwieweit Sie den folgenden Aussagen zustimmen (0 = stimme überhaupt nicht zu, 10 = stimme voll zu).</w:t>
      </w:r>
    </w:p>
    <w:p>
      <w:pPr/>
      <w:r>
        <w:rPr>
          <w:i/>
        </w:rPr>
        <w:t xml:space="preserve">Hinweis zur Antwortoption:</w:t>
      </w:r>
      <w:r>
        <w:t xml:space="preserve"> In den Blöcken 1–3 sowie 5–7 können Sie „kann ich nicht beurteilen“ wählen. Block 4 hat diese Option nicht.</w:t>
      </w:r>
    </w:p>
    <w:p>
      <w:pPr/>
      <w:r>
        <w:rPr>
          <w:b/>
        </w:rPr>
        <w:t xml:space="preserve">Block 4: Aufgaben in Ihrer Tätigkeit</w:t>
      </w:r>
      <w:r>
        <w:t xml:space="preserve"> (DE aus D1-F3) Im Folgenden möchten wir mehr über die Aufgaben, die Sie bei Ihrer Arbeit bearbeiten, erfahren. Bitte geben Sie an, wie häufig die beschriebenen Aufgabenarten in Ihrer derzeitigen Tätigkeit vorkommen. Vor jeder Itemgruppe stehen die Aufgabenbeschreibung aus D1-F3 und die Frage „Wie häufig führen Sie diese Aufgaben aus?“.</w:t>
      </w:r>
    </w:p>
    <w:p>
      <w:pPr/>
      <w:r>
        <w:rPr>
          <w:b/>
        </w:rPr>
        <w:t xml:space="preserve">Technologiebeschreibung</w:t>
      </w:r>
      <w:r>
        <w:t xml:space="preserve"> [Modellwissen; Gliederung nach D1-F3] Im Folgenden wird Ihnen eine Technologie vorgestellt, die potenziell für die Bearbeitung Ihrer Aufgaben eingeführt werden könnte. Bitte lesen Sie die Beschreibung aufmerksam. Im Anschluss bitten wir Sie, einige Fragen dazu zu beantworten. Die Fragen beziehen sich auf Ihre subjektive Einschätzung der Technologie.</w:t>
      </w:r>
    </w:p>
    <w:p>
      <w:pPr>
        <w:pStyle w:val="ListParagraph"/>
        <w:numPr>
          <w:ilvl w:val="0"/>
          <w:numId w:val="16"/>
        </w:numPr>
      </w:pPr>
      <w:r>
        <w:rPr>
          <w:b/>
        </w:rPr>
        <w:t xml:space="preserve">Allgemeine Beschreibung:</w:t>
      </w:r>
      <w:r>
        <w:t xml:space="preserve"> Microsoft Copilot ist eine Anwendung, die auf künstlicher Intelligenz beruht. Copilot kann Texte in natürlicher Sprache verarbeiten und erzeugen.</w:t>
      </w:r>
    </w:p>
    <w:p>
      <w:pPr>
        <w:pStyle w:val="ListParagraph"/>
        <w:numPr>
          <w:ilvl w:val="0"/>
          <w:numId w:val="16"/>
        </w:numPr>
      </w:pPr>
      <w:r>
        <w:rPr>
          <w:b/>
        </w:rPr>
        <w:t xml:space="preserve">Perspektive der Nutzer:innen:</w:t>
      </w:r>
      <w:r>
        <w:t xml:space="preserve"> Nutzer:innen können Copilot eine Aufgabe oder Frage in eigenen Worten schriftlich beschreiben. Copilot kann daraufhin eine Antwort in Textform ausgeben.</w:t>
      </w:r>
    </w:p>
    <w:p>
      <w:pPr>
        <w:pStyle w:val="ListParagraph"/>
        <w:numPr>
          <w:ilvl w:val="0"/>
          <w:numId w:val="16"/>
        </w:numPr>
      </w:pPr>
      <w:r>
        <w:rPr>
          <w:b/>
        </w:rPr>
        <w:t xml:space="preserve">Interaktion:</w:t>
      </w:r>
      <w:r>
        <w:t xml:space="preserve"> Die Eingabe kann über ein Textfeld erfolgen. Auf eine Antwort hin können weitere Anweisungen eingegeben werden, etwa um eine Antwort anpassen zu lassen.</w:t>
      </w:r>
    </w:p>
    <w:p>
      <w:pPr>
        <w:pStyle w:val="ListParagraph"/>
        <w:numPr>
          <w:ilvl w:val="0"/>
          <w:numId w:val="16"/>
        </w:numPr>
      </w:pPr>
      <w:r>
        <w:rPr>
          <w:b/>
        </w:rPr>
        <w:t xml:space="preserve">Einsatzkontext:</w:t>
      </w:r>
      <w:r>
        <w:t xml:space="preserve"> Copilot kann Entwürfe für Texte erstellen, vorhandene Texte zusammenfassen, Daten auswerten und Abläufe planen.</w:t>
      </w:r>
    </w:p>
    <w:p>
      <w:pPr/>
      <w:r>
        <w:rPr>
          <w:b/>
        </w:rPr>
        <w:t xml:space="preserve">Block 5: Unterstützung durch Copilot</w:t>
      </w:r>
      <w:r>
        <w:t xml:space="preserve"> (D1-F3, K) Stellen Sie sich vor, Sie arbeiten mit Copilot. Die folgenden Aussagen beziehen sich auf Ihre Einschätzung, wie gut diese Technologie Sie bei bestimmten Aufgaben, die zuvor abgefragt wurden, unterstützen kann. Bitte geben Sie an, wie sehr Sie den Aussagen zustimmen, auch wenn Sie mit der Technologie noch nicht gearbeitet haben.</w:t>
      </w:r>
    </w:p>
    <w:p>
      <w:pPr/>
      <w:r>
        <w:rPr>
          <w:b/>
        </w:rPr>
        <w:t xml:space="preserve">Block 6</w:t>
      </w:r>
      <w:r>
        <w:t xml:space="preserve"> (D1-F3, K) Im folgenden Abschnitt geht es um Ihre persönliche Einschätzung, ob Sie beabsichtigen, Copilot künftig in Ihrem Arbeitsalltag einzusetzen.</w:t>
      </w:r>
    </w:p>
    <w:p>
      <w:pPr/>
      <w:r>
        <w:rPr>
          <w:b/>
        </w:rPr>
        <w:t xml:space="preserve">Block 7</w:t>
      </w:r>
      <w:r>
        <w:t xml:space="preserve"> (D1-F3, K) Bitte geben Sie abschließend an, inwieweit Sie den folgenden Aussagen zustimmen. Die Aussagen beziehen sich auf Ihre persönliche Einschätzung, wie sich Copilot auf Ihre Arbeitsleistung auswirken würde.</w:t>
      </w:r>
    </w:p>
    <w:p>
      <w:pPr>
        <w:pStyle w:val="Heading2"/>
      </w:pPr>
      <w:r>
        <w:t xml:space="preserve">Tabelle A – Auswahl</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Dimension</w:t>
            </w:r>
          </w:p>
        </w:tc>
        <w:tc>
          <w:tcPr>
            <w:tcW w:w="1040" w:type="dxa"/>
            <w:shd w:val="clear" w:color="auto" w:fill="F2F2F2"/>
          </w:tcPr>
          <w:p>
            <w:pPr/>
            <w:r>
              <w:t xml:space="preserve">Theorie/Instrument (Herkunft laut Quelle)</w:t>
            </w:r>
          </w:p>
        </w:tc>
        <w:tc>
          <w:tcPr>
            <w:tcW w:w="1040" w:type="dxa"/>
            <w:shd w:val="clear" w:color="auto" w:fill="F2F2F2"/>
          </w:tcPr>
          <w:p>
            <w:pPr/>
            <w:r>
              <w:t xml:space="preserve">Konstrukt</w:t>
            </w:r>
          </w:p>
        </w:tc>
        <w:tc>
          <w:tcPr>
            <w:tcW w:w="1040" w:type="dxa"/>
            <w:shd w:val="clear" w:color="auto" w:fill="F2F2F2"/>
          </w:tcPr>
          <w:p>
            <w:pPr/>
            <w:r>
              <w:t xml:space="preserve">Definition (Seite)</w:t>
            </w:r>
          </w:p>
        </w:tc>
        <w:tc>
          <w:tcPr>
            <w:tcW w:w="1040" w:type="dxa"/>
            <w:shd w:val="clear" w:color="auto" w:fill="F2F2F2"/>
          </w:tcPr>
          <w:p>
            <w:pPr/>
            <w:r>
              <w:t xml:space="preserve">Quelle</w:t>
            </w:r>
          </w:p>
        </w:tc>
        <w:tc>
          <w:tcPr>
            <w:tcW w:w="1040" w:type="dxa"/>
            <w:shd w:val="clear" w:color="auto" w:fill="F2F2F2"/>
          </w:tcPr>
          <w:p>
            <w:pPr/>
            <w:r>
              <w:t xml:space="preserve">Originalskala (Seite)</w:t>
            </w:r>
          </w:p>
        </w:tc>
        <w:tc>
          <w:tcPr>
            <w:tcW w:w="1040" w:type="dxa"/>
            <w:shd w:val="clear" w:color="auto" w:fill="F2F2F2"/>
          </w:tcPr>
          <w:p>
            <w:pPr/>
            <w:r>
              <w:t xml:space="preserve">Passung zum Fall</w:t>
            </w:r>
          </w:p>
        </w:tc>
        <w:tc>
          <w:tcPr>
            <w:tcW w:w="1040" w:type="dxa"/>
            <w:shd w:val="clear" w:color="auto" w:fill="F2F2F2"/>
          </w:tcPr>
          <w:p>
            <w:pPr/>
            <w:r>
              <w:t xml:space="preserve">Belegzitat</w:t>
            </w:r>
          </w:p>
        </w:tc>
        <w:tc>
          <w:tcPr>
            <w:tcW w:w="1040" w:type="dxa"/>
            <w:shd w:val="clear" w:color="auto" w:fill="F2F2F2"/>
          </w:tcPr>
          <w:p>
            <w:pPr/>
            <w:r>
              <w:t xml:space="preserve">verworfene Alternativen</w:t>
            </w:r>
          </w:p>
        </w:tc>
      </w:tr>
      <w:tr>
        <w:tc>
          <w:tcPr>
            <w:tcW w:w="1040" w:type="dxa"/>
          </w:tcPr>
          <w:p>
            <w:pPr/>
            <w:r>
              <w:t xml:space="preserve">D1</w:t>
            </w:r>
          </w:p>
        </w:tc>
        <w:tc>
          <w:tcPr>
            <w:tcW w:w="1040" w:type="dxa"/>
          </w:tcPr>
          <w:p>
            <w:pPr/>
            <w:r>
              <w:t xml:space="preserve">MAILS; Basis: Bloom (1956) und Ng et al. (2021), zit. n. Carolus et al. (2023). Items: eigene Entwicklung. ⚠ Anhang nennt Ng et al. (2022) [eigene Bewertung: Konstrukt der Quelle selbst zugeordnet]</w:t>
            </w:r>
          </w:p>
        </w:tc>
        <w:tc>
          <w:tcPr>
            <w:tcW w:w="1040" w:type="dxa"/>
          </w:tcPr>
          <w:p>
            <w:pPr/>
            <w:r>
              <w:t xml:space="preserve">Use &amp; Apply</w:t>
            </w:r>
          </w:p>
        </w:tc>
        <w:tc>
          <w:tcPr>
            <w:tcW w:w="1040" w:type="dxa"/>
          </w:tcPr>
          <w:p>
            <w:pPr/>
            <w:r>
              <w:t xml:space="preserve">nicht in den Quellen enthalten; Operationalisierung: „I can operate AI applications.“ (S1a PDF-S. 1)</w:t>
            </w:r>
          </w:p>
        </w:tc>
        <w:tc>
          <w:tcPr>
            <w:tcW w:w="1040" w:type="dxa"/>
          </w:tcPr>
          <w:p>
            <w:pPr/>
            <w:r>
              <w:t xml:space="preserve">Carolus et al. (2023)</w:t>
            </w:r>
          </w:p>
        </w:tc>
        <w:tc>
          <w:tcPr>
            <w:tcW w:w="1040" w:type="dxa"/>
          </w:tcPr>
          <w:p>
            <w:pPr/>
            <w:r>
              <w:t xml:space="preserve">0–10 (S1a PDF-S. 1)</w:t>
            </w:r>
          </w:p>
        </w:tc>
        <w:tc>
          <w:tcPr>
            <w:tcW w:w="1040" w:type="dxa"/>
          </w:tcPr>
          <w:p>
            <w:pPr/>
            <w:r>
              <w:t xml:space="preserve">Stichprobe: deutschsprachige Erwachsene, keine Beschäftigtenstichprobe; KI allgemein</w:t>
            </w:r>
          </w:p>
        </w:tc>
        <w:tc>
          <w:tcPr>
            <w:tcW w:w="1040" w:type="dxa"/>
          </w:tcPr>
          <w:p>
            <w:pPr/>
            <w:r>
              <w:t xml:space="preserve">„a modular measurement instrument is understood to be an instrument that consists of various components that can be used separately from one another.“ (S1b S. 2)</w:t>
            </w:r>
          </w:p>
        </w:tc>
        <w:tc>
          <w:tcPr>
            <w:tcW w:w="1040" w:type="dxa"/>
          </w:tcPr>
          <w:p>
            <w:pPr/>
            <w:r>
              <w:t xml:space="preserve">P1, P2, P4, P5 (siehe 1b)</w:t>
            </w:r>
          </w:p>
        </w:tc>
      </w:tr>
      <w:tr>
        <w:tc>
          <w:tcPr>
            <w:tcW w:w="1040" w:type="dxa"/>
          </w:tcPr>
          <w:p>
            <w:pPr/>
            <w:r>
              <w:t xml:space="preserve">D1</w:t>
            </w:r>
          </w:p>
        </w:tc>
        <w:tc>
          <w:tcPr>
            <w:tcW w:w="1040" w:type="dxa"/>
          </w:tcPr>
          <w:p>
            <w:pPr/>
            <w:r>
              <w:t xml:space="preserve">wie oben</w:t>
            </w:r>
          </w:p>
        </w:tc>
        <w:tc>
          <w:tcPr>
            <w:tcW w:w="1040" w:type="dxa"/>
          </w:tcPr>
          <w:p>
            <w:pPr/>
            <w:r>
              <w:t xml:space="preserve">Know &amp; Understand</w:t>
            </w:r>
          </w:p>
        </w:tc>
        <w:tc>
          <w:tcPr>
            <w:tcW w:w="1040" w:type="dxa"/>
          </w:tcPr>
          <w:p>
            <w:pPr/>
            <w:r>
              <w:t xml:space="preserve">nicht in den Quellen enthalten; Operationalisierung: „I know definitions of artificial intelligence.“ (S1a PDF-S. 1)</w:t>
            </w:r>
          </w:p>
        </w:tc>
        <w:tc>
          <w:tcPr>
            <w:tcW w:w="1040" w:type="dxa"/>
          </w:tcPr>
          <w:p>
            <w:pPr/>
            <w:r>
              <w:t xml:space="preserve">wie oben</w:t>
            </w:r>
          </w:p>
        </w:tc>
        <w:tc>
          <w:tcPr>
            <w:tcW w:w="1040" w:type="dxa"/>
          </w:tcPr>
          <w:p>
            <w:pPr/>
            <w:r>
              <w:t xml:space="preserve">0–10</w:t>
            </w:r>
          </w:p>
        </w:tc>
        <w:tc>
          <w:tcPr>
            <w:tcW w:w="1040" w:type="dxa"/>
          </w:tcPr>
          <w:p>
            <w:pPr/>
            <w:r>
              <w:t xml:space="preserve">wie oben</w:t>
            </w:r>
          </w:p>
        </w:tc>
        <w:tc>
          <w:tcPr>
            <w:tcW w:w="1040" w:type="dxa"/>
          </w:tcPr>
          <w:p>
            <w:pPr/>
            <w:r>
              <w:t xml:space="preserve">wie oben</w:t>
            </w:r>
          </w:p>
        </w:tc>
        <w:tc>
          <w:tcPr>
            <w:tcW w:w="1040" w:type="dxa"/>
          </w:tcPr>
          <w:p>
            <w:pPr/>
            <w:r>
              <w:t xml:space="preserve">wie oben</w:t>
            </w:r>
          </w:p>
        </w:tc>
      </w:tr>
      <w:tr>
        <w:tc>
          <w:tcPr>
            <w:tcW w:w="1040" w:type="dxa"/>
          </w:tcPr>
          <w:p>
            <w:pPr/>
            <w:r>
              <w:t xml:space="preserve">D2</w:t>
            </w:r>
          </w:p>
        </w:tc>
        <w:tc>
          <w:tcPr>
            <w:tcW w:w="1040" w:type="dxa"/>
          </w:tcPr>
          <w:p>
            <w:pPr/>
            <w:r>
              <w:t xml:space="preserve">MAILS; Anhang nennt „(Ajzen, 1985)“ – Titel passt nicht zu Problemlösen [eigene Bewertung: Konstrukt der Quelle selbst zugeordnet]</w:t>
            </w:r>
          </w:p>
        </w:tc>
        <w:tc>
          <w:tcPr>
            <w:tcW w:w="1040" w:type="dxa"/>
          </w:tcPr>
          <w:p>
            <w:pPr/>
            <w:r>
              <w:t xml:space="preserve">AI Problem solving</w:t>
            </w:r>
          </w:p>
        </w:tc>
        <w:tc>
          <w:tcPr>
            <w:tcW w:w="1040" w:type="dxa"/>
          </w:tcPr>
          <w:p>
            <w:pPr/>
            <w:r>
              <w:t xml:space="preserve">„the ability to solve problems encountered while working with AI (i.e., AI problem solving)“ (S1b S. 6)</w:t>
            </w:r>
          </w:p>
        </w:tc>
        <w:tc>
          <w:tcPr>
            <w:tcW w:w="1040" w:type="dxa"/>
          </w:tcPr>
          <w:p>
            <w:pPr/>
            <w:r>
              <w:t xml:space="preserve">wie oben</w:t>
            </w:r>
          </w:p>
        </w:tc>
        <w:tc>
          <w:tcPr>
            <w:tcW w:w="1040" w:type="dxa"/>
          </w:tcPr>
          <w:p>
            <w:pPr/>
            <w:r>
              <w:t xml:space="preserve">0–10</w:t>
            </w:r>
          </w:p>
        </w:tc>
        <w:tc>
          <w:tcPr>
            <w:tcW w:w="1040" w:type="dxa"/>
          </w:tcPr>
          <w:p>
            <w:pPr/>
            <w:r>
              <w:t xml:space="preserve">wie oben</w:t>
            </w:r>
          </w:p>
        </w:tc>
        <w:tc>
          <w:tcPr>
            <w:tcW w:w="1040" w:type="dxa"/>
          </w:tcPr>
          <w:p>
            <w:pPr/>
            <w:r>
              <w:t xml:space="preserve">„To determine the individual values, a mean score must be calculated from the corresponding items.“ (S1a PDF-S. 3)</w:t>
            </w:r>
          </w:p>
        </w:tc>
        <w:tc>
          <w:tcPr>
            <w:tcW w:w="1040" w:type="dxa"/>
          </w:tcPr>
          <w:p>
            <w:pPr/>
            <w:r>
              <w:t xml:space="preserve">wie oben</w:t>
            </w:r>
          </w:p>
        </w:tc>
      </w:tr>
      <w:tr>
        <w:tc>
          <w:tcPr>
            <w:tcW w:w="1040" w:type="dxa"/>
          </w:tcPr>
          <w:p>
            <w:pPr/>
            <w:r>
              <w:t xml:space="preserve">D2</w:t>
            </w:r>
          </w:p>
        </w:tc>
        <w:tc>
          <w:tcPr>
            <w:tcW w:w="1040" w:type="dxa"/>
          </w:tcPr>
          <w:p>
            <w:pPr/>
            <w:r>
              <w:t xml:space="preserve">MAILS; Carolus et al. (2022), Cetindamar et al. (2022), Dai et al. (2020), zit. n. Carolus et al. (2023)</w:t>
            </w:r>
          </w:p>
        </w:tc>
        <w:tc>
          <w:tcPr>
            <w:tcW w:w="1040" w:type="dxa"/>
          </w:tcPr>
          <w:p>
            <w:pPr/>
            <w:r>
              <w:t xml:space="preserve">Learning</w:t>
            </w:r>
          </w:p>
        </w:tc>
        <w:tc>
          <w:tcPr>
            <w:tcW w:w="1040" w:type="dxa"/>
          </w:tcPr>
          <w:p>
            <w:pPr/>
            <w:r>
              <w:t xml:space="preserve">„the ability to keep up to date with current developments and inform oneself about new AI applications, called Learning“ (S1b S. 6)</w:t>
            </w:r>
          </w:p>
        </w:tc>
        <w:tc>
          <w:tcPr>
            <w:tcW w:w="1040" w:type="dxa"/>
          </w:tcPr>
          <w:p>
            <w:pPr/>
            <w:r>
              <w:t xml:space="preserve">wie oben</w:t>
            </w:r>
          </w:p>
        </w:tc>
        <w:tc>
          <w:tcPr>
            <w:tcW w:w="1040" w:type="dxa"/>
          </w:tcPr>
          <w:p>
            <w:pPr/>
            <w:r>
              <w:t xml:space="preserve">0–10</w:t>
            </w:r>
          </w:p>
        </w:tc>
        <w:tc>
          <w:tcPr>
            <w:tcW w:w="1040" w:type="dxa"/>
          </w:tcPr>
          <w:p>
            <w:pPr/>
            <w:r>
              <w:t xml:space="preserve">wie oben</w:t>
            </w:r>
          </w:p>
        </w:tc>
        <w:tc>
          <w:tcPr>
            <w:tcW w:w="1040" w:type="dxa"/>
          </w:tcPr>
          <w:p>
            <w:pPr/>
            <w:r>
              <w:t xml:space="preserve">wie oben</w:t>
            </w:r>
          </w:p>
        </w:tc>
        <w:tc>
          <w:tcPr>
            <w:tcW w:w="1040" w:type="dxa"/>
          </w:tcPr>
          <w:p>
            <w:pPr/>
            <w:r>
              <w:t xml:space="preserve">wie oben</w:t>
            </w:r>
          </w:p>
        </w:tc>
      </w:tr>
      <w:tr>
        <w:tc>
          <w:tcPr>
            <w:tcW w:w="1040" w:type="dxa"/>
          </w:tcPr>
          <w:p>
            <w:pPr/>
            <w:r>
              <w:t xml:space="preserve">D3</w:t>
            </w:r>
          </w:p>
        </w:tc>
        <w:tc>
          <w:tcPr>
            <w:tcW w:w="1040" w:type="dxa"/>
          </w:tcPr>
          <w:p>
            <w:pPr/>
            <w:r>
              <w:t xml:space="preserve">ATAI (eigene Entwicklung der Quelle, S. 111)</w:t>
            </w:r>
          </w:p>
        </w:tc>
        <w:tc>
          <w:tcPr>
            <w:tcW w:w="1040" w:type="dxa"/>
          </w:tcPr>
          <w:p>
            <w:pPr/>
            <w:r>
              <w:t xml:space="preserve">Acceptance</w:t>
            </w:r>
          </w:p>
        </w:tc>
        <w:tc>
          <w:tcPr>
            <w:tcW w:w="1040" w:type="dxa"/>
          </w:tcPr>
          <w:p>
            <w:pPr/>
            <w:r>
              <w:t xml:space="preserve">nicht in den Quellen enthalten; Operationalisierung: Items 02, 04 (S. 113)</w:t>
            </w:r>
          </w:p>
        </w:tc>
        <w:tc>
          <w:tcPr>
            <w:tcW w:w="1040" w:type="dxa"/>
          </w:tcPr>
          <w:p>
            <w:pPr/>
            <w:r>
              <w:t xml:space="preserve">Sindermann et al. (2021)</w:t>
            </w:r>
          </w:p>
        </w:tc>
        <w:tc>
          <w:tcPr>
            <w:tcW w:w="1040" w:type="dxa"/>
          </w:tcPr>
          <w:p>
            <w:pPr/>
            <w:r>
              <w:t xml:space="preserve">0–10 (S. 111–112)</w:t>
            </w:r>
          </w:p>
        </w:tc>
        <w:tc>
          <w:tcPr>
            <w:tcW w:w="1040" w:type="dxa"/>
          </w:tcPr>
          <w:p>
            <w:pPr/>
            <w:r>
              <w:t xml:space="preserve">Stichprobe überwiegend Studierende; KI allgemein</w:t>
            </w:r>
          </w:p>
        </w:tc>
        <w:tc>
          <w:tcPr>
            <w:tcW w:w="1040" w:type="dxa"/>
          </w:tcPr>
          <w:p>
            <w:pPr/>
            <w:r>
              <w:t xml:space="preserve">„The two components extracted in the PCAs were labelled Acceptance (items 02, 04) and Fear (items 01, 03, 05).“ (S. 113)</w:t>
            </w:r>
          </w:p>
        </w:tc>
        <w:tc>
          <w:tcPr>
            <w:tcW w:w="1040" w:type="dxa"/>
          </w:tcPr>
          <w:p>
            <w:pPr/>
            <w:r>
              <w:t xml:space="preserve">wie oben</w:t>
            </w:r>
          </w:p>
        </w:tc>
      </w:tr>
      <w:tr>
        <w:tc>
          <w:tcPr>
            <w:tcW w:w="1040" w:type="dxa"/>
          </w:tcPr>
          <w:p>
            <w:pPr/>
            <w:r>
              <w:t xml:space="preserve">D3</w:t>
            </w:r>
          </w:p>
        </w:tc>
        <w:tc>
          <w:tcPr>
            <w:tcW w:w="1040" w:type="dxa"/>
          </w:tcPr>
          <w:p>
            <w:pPr/>
            <w:r>
              <w:t xml:space="preserve">ATAI</w:t>
            </w:r>
          </w:p>
        </w:tc>
        <w:tc>
          <w:tcPr>
            <w:tcW w:w="1040" w:type="dxa"/>
          </w:tcPr>
          <w:p>
            <w:pPr/>
            <w:r>
              <w:t xml:space="preserve">Fear</w:t>
            </w:r>
          </w:p>
        </w:tc>
        <w:tc>
          <w:tcPr>
            <w:tcW w:w="1040" w:type="dxa"/>
          </w:tcPr>
          <w:p>
            <w:pPr/>
            <w:r>
              <w:t xml:space="preserve">nicht in den Quellen enthalten; Operationalisierung: Items 01, 03, 05 (S. 113)</w:t>
            </w:r>
          </w:p>
        </w:tc>
        <w:tc>
          <w:tcPr>
            <w:tcW w:w="1040" w:type="dxa"/>
          </w:tcPr>
          <w:p>
            <w:pPr/>
            <w:r>
              <w:t xml:space="preserve">wie oben</w:t>
            </w:r>
          </w:p>
        </w:tc>
        <w:tc>
          <w:tcPr>
            <w:tcW w:w="1040" w:type="dxa"/>
          </w:tcPr>
          <w:p>
            <w:pPr/>
            <w:r>
              <w:t xml:space="preserve">0–10</w:t>
            </w:r>
          </w:p>
        </w:tc>
        <w:tc>
          <w:tcPr>
            <w:tcW w:w="1040" w:type="dxa"/>
          </w:tcPr>
          <w:p>
            <w:pPr/>
            <w:r>
              <w:t xml:space="preserve">wie oben</w:t>
            </w:r>
          </w:p>
        </w:tc>
        <w:tc>
          <w:tcPr>
            <w:tcW w:w="1040" w:type="dxa"/>
          </w:tcPr>
          <w:p>
            <w:pPr/>
            <w:r>
              <w:t xml:space="preserve">wie oben</w:t>
            </w:r>
          </w:p>
        </w:tc>
        <w:tc>
          <w:tcPr>
            <w:tcW w:w="1040" w:type="dxa"/>
          </w:tcPr>
          <w:p>
            <w:pPr/>
            <w:r>
              <w:t xml:space="preserve">wie oben</w:t>
            </w:r>
          </w:p>
        </w:tc>
      </w:tr>
      <w:tr>
        <w:tc>
          <w:tcPr>
            <w:tcW w:w="1040" w:type="dxa"/>
          </w:tcPr>
          <w:p>
            <w:pPr/>
            <w:r>
              <w:t xml:space="preserve">D4</w:t>
            </w:r>
          </w:p>
        </w:tc>
        <w:tc>
          <w:tcPr>
            <w:tcW w:w="1040" w:type="dxa"/>
          </w:tcPr>
          <w:p>
            <w:pPr/>
            <w:r>
              <w:t xml:space="preserve">TTF-Modell, Goodhue &amp; Thompson (1995, zit. n. Paetow et al., 2026). Herkunft der Items: nicht in den Quellen enthalten</w:t>
            </w:r>
          </w:p>
        </w:tc>
        <w:tc>
          <w:tcPr>
            <w:tcW w:w="1040" w:type="dxa"/>
          </w:tcPr>
          <w:p>
            <w:pPr/>
            <w:r>
              <w:t xml:space="preserve">TTF (Einzelindikator, als Skala nicht validiert)</w:t>
            </w:r>
          </w:p>
        </w:tc>
        <w:tc>
          <w:tcPr>
            <w:tcW w:w="1040" w:type="dxa"/>
          </w:tcPr>
          <w:p>
            <w:pPr/>
            <w:r>
              <w:t xml:space="preserve">„anticipated fit (users’ subjective expectation of usefulness)“ (S. 321)</w:t>
            </w:r>
          </w:p>
        </w:tc>
        <w:tc>
          <w:tcPr>
            <w:tcW w:w="1040" w:type="dxa"/>
          </w:tcPr>
          <w:p>
            <w:pPr/>
            <w:r>
              <w:t xml:space="preserve">Paetow et al. (2026)</w:t>
            </w:r>
          </w:p>
        </w:tc>
        <w:tc>
          <w:tcPr>
            <w:tcW w:w="1040" w:type="dxa"/>
          </w:tcPr>
          <w:p>
            <w:pPr/>
            <w:r>
              <w:t xml:space="preserve">1–5 (S. 322)</w:t>
            </w:r>
          </w:p>
        </w:tc>
        <w:tc>
          <w:tcPr>
            <w:tcW w:w="1040" w:type="dxa"/>
          </w:tcPr>
          <w:p>
            <w:pPr/>
            <w:r>
              <w:t xml:space="preserve">Beschäftigte, vor Einführung; Technologie VR statt KI</w:t>
            </w:r>
          </w:p>
        </w:tc>
        <w:tc>
          <w:tcPr>
            <w:tcW w:w="1040" w:type="dxa"/>
          </w:tcPr>
          <w:p>
            <w:pPr/>
            <w:r>
              <w:t xml:space="preserve">„TTF was modeled as a participant-specific single-indicator variable …“ (S. 323)</w:t>
            </w:r>
          </w:p>
        </w:tc>
        <w:tc>
          <w:tcPr>
            <w:tcW w:w="1040" w:type="dxa"/>
          </w:tcPr>
          <w:p>
            <w:pPr/>
            <w:r>
              <w:t xml:space="preserve">wie oben</w:t>
            </w:r>
          </w:p>
        </w:tc>
      </w:tr>
      <w:tr>
        <w:tc>
          <w:tcPr>
            <w:tcW w:w="1040" w:type="dxa"/>
          </w:tcPr>
          <w:p>
            <w:pPr/>
            <w:r>
              <w:t xml:space="preserve">D4</w:t>
            </w:r>
          </w:p>
        </w:tc>
        <w:tc>
          <w:tcPr>
            <w:tcW w:w="1040" w:type="dxa"/>
          </w:tcPr>
          <w:p>
            <w:pPr/>
            <w:r>
              <w:t xml:space="preserve">UTAUT, Venkatesh et al. (2003, zit. n. Paetow et al., 2026)</w:t>
            </w:r>
          </w:p>
        </w:tc>
        <w:tc>
          <w:tcPr>
            <w:tcW w:w="1040" w:type="dxa"/>
          </w:tcPr>
          <w:p>
            <w:pPr/>
            <w:r>
              <w:t xml:space="preserve">BI</w:t>
            </w:r>
          </w:p>
        </w:tc>
        <w:tc>
          <w:tcPr>
            <w:tcW w:w="1040" w:type="dxa"/>
          </w:tcPr>
          <w:p>
            <w:pPr/>
            <w:r>
              <w:t xml:space="preserve">nicht in den Quellen enthalten; Operationalisierung: D1-F3 BI-1</w:t>
            </w:r>
          </w:p>
        </w:tc>
        <w:tc>
          <w:tcPr>
            <w:tcW w:w="1040" w:type="dxa"/>
          </w:tcPr>
          <w:p>
            <w:pPr/>
            <w:r>
              <w:t xml:space="preserve">wie oben</w:t>
            </w:r>
          </w:p>
        </w:tc>
        <w:tc>
          <w:tcPr>
            <w:tcW w:w="1040" w:type="dxa"/>
          </w:tcPr>
          <w:p>
            <w:pPr/>
            <w:r>
              <w:t xml:space="preserve">1–5</w:t>
            </w:r>
          </w:p>
        </w:tc>
        <w:tc>
          <w:tcPr>
            <w:tcW w:w="1040" w:type="dxa"/>
          </w:tcPr>
          <w:p>
            <w:pPr/>
            <w:r>
              <w:t xml:space="preserve">wie oben</w:t>
            </w:r>
          </w:p>
        </w:tc>
        <w:tc>
          <w:tcPr>
            <w:tcW w:w="1040" w:type="dxa"/>
          </w:tcPr>
          <w:p>
            <w:pPr/>
            <w:r>
              <w:t xml:space="preserve">„BI (3 items) was adapted from UTAUT (Venkatesh et al., 2003)“ (S. 322)</w:t>
            </w:r>
          </w:p>
        </w:tc>
        <w:tc>
          <w:tcPr>
            <w:tcW w:w="1040" w:type="dxa"/>
          </w:tcPr>
          <w:p>
            <w:pPr/>
            <w:r>
              <w:t xml:space="preserve">wie oben</w:t>
            </w:r>
          </w:p>
        </w:tc>
      </w:tr>
      <w:tr>
        <w:tc>
          <w:tcPr>
            <w:tcW w:w="1040" w:type="dxa"/>
          </w:tcPr>
          <w:p>
            <w:pPr/>
            <w:r>
              <w:t xml:space="preserve">D4</w:t>
            </w:r>
          </w:p>
        </w:tc>
        <w:tc>
          <w:tcPr>
            <w:tcW w:w="1040" w:type="dxa"/>
          </w:tcPr>
          <w:p>
            <w:pPr/>
            <w:r>
              <w:t xml:space="preserve">TTF-Modell, Goodhue &amp; Thompson (1995, zit. n. Paetow et al., 2026)</w:t>
            </w:r>
          </w:p>
        </w:tc>
        <w:tc>
          <w:tcPr>
            <w:tcW w:w="1040" w:type="dxa"/>
          </w:tcPr>
          <w:p>
            <w:pPr/>
            <w:r>
              <w:t xml:space="preserve">PERF</w:t>
            </w:r>
          </w:p>
        </w:tc>
        <w:tc>
          <w:tcPr>
            <w:tcW w:w="1040" w:type="dxa"/>
          </w:tcPr>
          <w:p>
            <w:pPr/>
            <w:r>
              <w:t xml:space="preserve">nicht in den Quellen enthalten; Operationalisierung: D1-F3 PERF-1</w:t>
            </w:r>
          </w:p>
        </w:tc>
        <w:tc>
          <w:tcPr>
            <w:tcW w:w="1040" w:type="dxa"/>
          </w:tcPr>
          <w:p>
            <w:pPr/>
            <w:r>
              <w:t xml:space="preserve">wie oben</w:t>
            </w:r>
          </w:p>
        </w:tc>
        <w:tc>
          <w:tcPr>
            <w:tcW w:w="1040" w:type="dxa"/>
          </w:tcPr>
          <w:p>
            <w:pPr/>
            <w:r>
              <w:t xml:space="preserve">1–5</w:t>
            </w:r>
          </w:p>
        </w:tc>
        <w:tc>
          <w:tcPr>
            <w:tcW w:w="1040" w:type="dxa"/>
          </w:tcPr>
          <w:p>
            <w:pPr/>
            <w:r>
              <w:t xml:space="preserve">wie oben</w:t>
            </w:r>
          </w:p>
        </w:tc>
        <w:tc>
          <w:tcPr>
            <w:tcW w:w="1040" w:type="dxa"/>
          </w:tcPr>
          <w:p>
            <w:pPr/>
            <w:r>
              <w:t xml:space="preserve">„PERF (3 items) from the original TTF model (Goodhue &amp; Thompson, 1995)“ (S. 322)</w:t>
            </w:r>
          </w:p>
        </w:tc>
        <w:tc>
          <w:tcPr>
            <w:tcW w:w="1040" w:type="dxa"/>
          </w:tcPr>
          <w:p>
            <w:pPr/>
            <w:r>
              <w:t xml:space="preserve">wie oben</w:t>
            </w:r>
          </w:p>
        </w:tc>
      </w:tr>
      <w:tr>
        <w:tc>
          <w:tcPr>
            <w:tcW w:w="1040" w:type="dxa"/>
          </w:tcPr>
          <w:p>
            <w:pPr/>
            <w:r>
              <w:t xml:space="preserve">D4 (Filter)</w:t>
            </w:r>
          </w:p>
        </w:tc>
        <w:tc>
          <w:tcPr>
            <w:tcW w:w="1040" w:type="dxa"/>
          </w:tcPr>
          <w:p>
            <w:pPr/>
            <w:r>
              <w:t xml:space="preserve">McGrath (1984, zit. n. Paetow et al., 2026)</w:t>
            </w:r>
          </w:p>
        </w:tc>
        <w:tc>
          <w:tcPr>
            <w:tcW w:w="1040" w:type="dxa"/>
          </w:tcPr>
          <w:p>
            <w:pPr/>
            <w:r>
              <w:t xml:space="preserve">TC – nur Filter, kein eigener Skalenwert</w:t>
            </w:r>
          </w:p>
        </w:tc>
        <w:tc>
          <w:tcPr>
            <w:tcW w:w="1040" w:type="dxa"/>
          </w:tcPr>
          <w:p>
            <w:pPr/>
            <w:r>
              <w:t xml:space="preserve">Aufgabenarten (S. 320)</w:t>
            </w:r>
          </w:p>
        </w:tc>
        <w:tc>
          <w:tcPr>
            <w:tcW w:w="1040" w:type="dxa"/>
          </w:tcPr>
          <w:p>
            <w:pPr/>
            <w:r>
              <w:t xml:space="preserve">wie oben</w:t>
            </w:r>
          </w:p>
        </w:tc>
        <w:tc>
          <w:tcPr>
            <w:tcW w:w="1040" w:type="dxa"/>
          </w:tcPr>
          <w:p>
            <w:pPr/>
            <w:r>
              <w:t xml:space="preserve">6-stufige Häufigkeit (S. 322)</w:t>
            </w:r>
          </w:p>
        </w:tc>
        <w:tc>
          <w:tcPr>
            <w:tcW w:w="1040" w:type="dxa"/>
          </w:tcPr>
          <w:p>
            <w:pPr/>
            <w:r>
              <w:t xml:space="preserve">wie oben</w:t>
            </w:r>
          </w:p>
        </w:tc>
        <w:tc>
          <w:tcPr>
            <w:tcW w:w="1040" w:type="dxa"/>
          </w:tcPr>
          <w:p>
            <w:pPr/>
            <w:r>
              <w:t xml:space="preserve">„only those task types reported as performed at least monthly (response ≥ 4 …) were followed by corresponding fit items.“ (S. 322)</w:t>
            </w:r>
          </w:p>
        </w:tc>
        <w:tc>
          <w:tcPr>
            <w:tcW w:w="1040" w:type="dxa"/>
          </w:tcPr>
          <w:p>
            <w:pPr/>
            <w:r>
              <w:t xml:space="preserve">–</w:t>
            </w:r>
          </w:p>
        </w:tc>
      </w:tr>
      <w:tr>
        <w:tc>
          <w:tcPr>
            <w:tcW w:w="1040" w:type="dxa"/>
          </w:tcPr>
          <w:p>
            <w:pPr/>
            <w:r>
              <w:t xml:space="preserve">D5</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keine passende Quelle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P4 (Format)</w:t>
            </w:r>
          </w:p>
        </w:tc>
      </w:tr>
    </w:tbl>
    <w:p>
      <w:pPr>
        <w:pStyle w:val="Heading2"/>
      </w:pPr>
      <w:r>
        <w:t xml:space="preserve">Tabelle B – Fragebogen</w:t>
      </w:r>
    </w:p>
    <w:p>
      <w:pPr/>
      <w:r>
        <w:rPr>
          <w:b/>
        </w:rPr>
        <w:t xml:space="preserve">ID-Schema</w:t>
      </w:r>
    </w:p>
    <w:p>
      <w:pPr>
        <w:pStyle w:val="ListParagraph"/>
        <w:numPr>
          <w:ilvl w:val="0"/>
          <w:numId w:val="17"/>
        </w:numPr>
      </w:pPr>
      <w:r>
        <w:t xml:space="preserve">S1a-NN = Originalnummer im MAILS-Itemblatt</w:t>
      </w:r>
    </w:p>
    <w:p>
      <w:pPr>
        <w:pStyle w:val="ListParagraph"/>
        <w:numPr>
          <w:ilvl w:val="0"/>
          <w:numId w:val="17"/>
        </w:numPr>
      </w:pPr>
      <w:r>
        <w:t xml:space="preserve">S2-ATAI0N = Originalnummer in Tab. 1 von S2</w:t>
      </w:r>
    </w:p>
    <w:p>
      <w:pPr>
        <w:pStyle w:val="ListParagraph"/>
        <w:numPr>
          <w:ilvl w:val="0"/>
          <w:numId w:val="17"/>
        </w:numPr>
      </w:pPr>
      <w:r>
        <w:t xml:space="preserve">D1-F3-[Konstrukt]-[Aufgabenart]-[Position] = Katalogpräfix + Fragebogen 3 + Konstrukt + Position (die Items im Katalog sind nicht nummeriert)</w:t>
      </w:r>
    </w:p>
    <w:p>
      <w:pPr>
        <w:pStyle w:val="ListParagraph"/>
        <w:numPr>
          <w:ilvl w:val="0"/>
          <w:numId w:val="17"/>
        </w:numPr>
      </w:pPr>
      <w:r>
        <w:t xml:space="preserve">Kürzel der Aufgabenarten: PLA Planung, KRE Kreativität, INT Intellektuell, URT Urteil, KOG kognitiver Konflikt, MIX konkurrierende Interessen, WET Wettbewerb, AUS Ausführung</w:t>
      </w:r>
    </w:p>
    <w:p>
      <w:pPr/>
      <w:r>
        <w:rPr>
          <w:b/>
        </w:rPr>
        <w:t xml:space="preserve">Blockreihenfolge</w:t>
      </w:r>
      <w:r>
        <w:t xml:space="preserve"> (Abweichungen begründet [eigene Bewertung])</w:t>
      </w:r>
    </w:p>
    <w:p>
      <w:pPr>
        <w:pStyle w:val="ListParagraph"/>
        <w:numPr>
          <w:ilvl w:val="0"/>
          <w:numId w:val="18"/>
        </w:numPr>
      </w:pPr>
      <w:r>
        <w:t xml:space="preserve">MAILS</w:t>
      </w:r>
    </w:p>
    <w:p>
      <w:pPr>
        <w:pStyle w:val="ListParagraph"/>
        <w:numPr>
          <w:ilvl w:val="0"/>
          <w:numId w:val="18"/>
        </w:numPr>
      </w:pPr>
      <w:r>
        <w:t xml:space="preserve">ATAI</w:t>
      </w:r>
    </w:p>
    <w:p>
      <w:pPr>
        <w:pStyle w:val="ListParagraph"/>
        <w:numPr>
          <w:ilvl w:val="0"/>
          <w:numId w:val="18"/>
        </w:numPr>
      </w:pPr>
      <w:r>
        <w:t xml:space="preserve">TC-Filter</w:t>
      </w:r>
    </w:p>
    <w:p>
      <w:pPr>
        <w:pStyle w:val="ListParagraph"/>
        <w:numPr>
          <w:ilvl w:val="0"/>
          <w:numId w:val="18"/>
        </w:numPr>
      </w:pPr>
      <w:r>
        <w:t xml:space="preserve">Copilot-Beschreibung</w:t>
      </w:r>
    </w:p>
    <w:p>
      <w:pPr>
        <w:pStyle w:val="ListParagraph"/>
        <w:numPr>
          <w:ilvl w:val="0"/>
          <w:numId w:val="18"/>
        </w:numPr>
      </w:pPr>
      <w:r>
        <w:t xml:space="preserve">TTF</w:t>
      </w:r>
    </w:p>
    <w:p>
      <w:pPr>
        <w:pStyle w:val="ListParagraph"/>
        <w:numPr>
          <w:ilvl w:val="0"/>
          <w:numId w:val="18"/>
        </w:numPr>
      </w:pPr>
      <w:r>
        <w:t xml:space="preserve">BI</w:t>
      </w:r>
    </w:p>
    <w:p>
      <w:pPr>
        <w:pStyle w:val="ListParagraph"/>
        <w:numPr>
          <w:ilvl w:val="0"/>
          <w:numId w:val="18"/>
        </w:numPr>
      </w:pPr>
      <w:r>
        <w:t xml:space="preserve">PERF</w:t>
      </w:r>
    </w:p>
    <w:p>
      <w:pPr/>
      <w:r>
        <w:t xml:space="preserve">Begründung:</w:t>
      </w:r>
    </w:p>
    <w:p>
      <w:pPr>
        <w:pStyle w:val="ListParagraph"/>
        <w:numPr>
          <w:ilvl w:val="0"/>
          <w:numId w:val="19"/>
        </w:numPr>
      </w:pPr>
      <w:r>
        <w:rPr>
          <w:b/>
        </w:rPr>
        <w:t xml:space="preserve">MAILS zuerst</w:t>
      </w:r>
      <w:r>
        <w:t xml:space="preserve">, entsprechend „were administered first“ (S1b S. 6).</w:t>
      </w:r>
    </w:p>
    <w:p>
      <w:pPr>
        <w:pStyle w:val="ListParagraph"/>
        <w:numPr>
          <w:ilvl w:val="0"/>
          <w:numId w:val="19"/>
        </w:numPr>
      </w:pPr>
      <w:r>
        <w:rPr>
          <w:b/>
        </w:rPr>
        <w:t xml:space="preserve">ATAI vor der Copilot-Beschreibung.</w:t>
      </w:r>
      <w:r>
        <w:t xml:space="preserve"> Das weicht von S2 ab („the items on AI products were presented before the ATAI scale“, S. 112). Grund: Die allgemeine KI-Einstellung soll nicht durch die Copilot-Beschreibung beeinflusst werden.</w:t>
      </w:r>
    </w:p>
    <w:p>
      <w:pPr>
        <w:pStyle w:val="ListParagraph"/>
        <w:numPr>
          <w:ilvl w:val="0"/>
          <w:numId w:val="19"/>
        </w:numPr>
      </w:pPr>
      <w:r>
        <w:rPr>
          <w:b/>
        </w:rPr>
        <w:t xml:space="preserve">P3-Reihenfolge übernommen, aber TeC entfällt.</w:t>
      </w:r>
      <w:r>
        <w:t xml:space="preserve"> Abweichung von „TC → Beschreibung → TeC → TTF“ in D1-F3. Grund: Die TeC-Items sind VR-spezifisch.</w:t>
      </w:r>
    </w:p>
    <w:p>
      <w:pPr/>
      <w:r>
        <w:rPr>
          <w:b/>
        </w:rPr>
        <w:t xml:space="preserve">Skalen:</w:t>
      </w:r>
      <w:r>
        <w:t xml:space="preserve"> Block 1–3: 0–10 + „kann ich nicht beurteilen“ (S). Block 4: 6-stufige Häufigkeit. Block 5–7: 1–5 + „kann ich nicht beurteilen“ (S).</w:t>
      </w:r>
    </w:p>
    <w:p>
      <w:pPr/>
      <w:r>
        <w:rPr>
          <w:b/>
        </w:rPr>
        <w:t xml:space="preserve">Filterregel:</w:t>
      </w:r>
      <w:r>
        <w:t xml:space="preserve"> TTF-Items einer Aufgabenart erscheinen nur, wenn mindestens eines der drei TC-Items dieser Aufgabenart ≥ 4 („monatlich“) ist [eigene Bewertung zur Verdichtung]. TC_Performance_3 bleibt als Filteritem erhalten: Der Ausschluss nennt ausdrücklich TC (Regel 4).</w:t>
      </w:r>
    </w:p>
    <w:p>
      <w:pPr/>
      <w:r>
        <w:rPr>
          <w:b/>
        </w:rPr>
        <w:t xml:space="preserve">Auswertung</w:t>
      </w:r>
    </w:p>
    <w:p>
      <w:pPr>
        <w:pStyle w:val="ListParagraph"/>
        <w:numPr>
          <w:ilvl w:val="0"/>
          <w:numId w:val="20"/>
        </w:numPr>
      </w:pPr>
      <w:r>
        <w:t xml:space="preserve">Jede Skala wird getrennt als Mittelwert ausgewertet (S1a PDF-S. 3).</w:t>
      </w:r>
    </w:p>
    <w:p>
      <w:pPr>
        <w:pStyle w:val="ListParagraph"/>
        <w:numPr>
          <w:ilvl w:val="0"/>
          <w:numId w:val="20"/>
        </w:numPr>
      </w:pPr>
      <w:r>
        <w:t xml:space="preserve">TTF = Mittelwert aller gefilterten TTF-Items (S. 323); „kann ich nicht beurteilen“ gilt als fehlender Wert.</w:t>
      </w:r>
    </w:p>
    <w:p>
      <w:pPr>
        <w:pStyle w:val="ListParagraph"/>
        <w:numPr>
          <w:ilvl w:val="0"/>
          <w:numId w:val="20"/>
        </w:numPr>
      </w:pPr>
      <w:r>
        <w:t xml:space="preserve">KI-Readiness wird als Profil der Skalenwerte je Dimension berichtet, ohne Gesamtwert.</w:t>
      </w:r>
    </w:p>
    <w:p>
      <w:pPr>
        <w:pStyle w:val="ListParagraph"/>
        <w:numPr>
          <w:ilvl w:val="0"/>
          <w:numId w:val="20"/>
        </w:numPr>
      </w:pPr>
      <w:r>
        <w:t xml:space="preserve">TC wird nur als Filter verwendet und nicht ausgewertet.</w:t>
      </w:r>
    </w:p>
    <w:p>
      <w:pPr>
        <w:pStyle w:val="Heading3"/>
      </w:pPr>
      <w:r>
        <w:t xml:space="preserve">D1 – KI-Kompetenz (MAILS)</w:t>
      </w:r>
    </w:p>
    <w:tbl>
      <w:tblPr>
        <w:tblStyle w:val="TableGrid"/>
        <w:tblW w:w="0" w:type="auto"/>
        <w:tblLayout w:type="fixed"/>
        <w:tblLook w:val="04A0" w:firstRow="1" w:lastRow="0" w:firstColumn="0" w:lastColumn="0" w:noHBand="0" w:noVBand="1"/>
      </w:tblPr>
      <w:tblGrid>
        <w:gridCol w:w="1034"/>
        <w:gridCol w:w="1384"/>
        <w:gridCol w:w="1566"/>
        <w:gridCol w:w="1560"/>
        <w:gridCol w:w="3096"/>
        <w:gridCol w:w="720"/>
      </w:tblGrid>
      <w:tr>
        <w:trPr>
          <w:tblHeader/>
        </w:trPr>
        <w:tc>
          <w:tcPr>
            <w:tcW w:w="1034" w:type="dxa"/>
            <w:shd w:val="clear" w:color="auto" w:fill="F2F2F2"/>
          </w:tcPr>
          <w:p>
            <w:pPr/>
            <w:r>
              <w:t xml:space="preserve">Item-ID</w:t>
            </w:r>
          </w:p>
        </w:tc>
        <w:tc>
          <w:tcPr>
            <w:tcW w:w="1384" w:type="dxa"/>
            <w:shd w:val="clear" w:color="auto" w:fill="F2F2F2"/>
          </w:tcPr>
          <w:p>
            <w:pPr/>
            <w:r>
              <w:t xml:space="preserve">Konstrukt</w:t>
            </w:r>
          </w:p>
        </w:tc>
        <w:tc>
          <w:tcPr>
            <w:tcW w:w="1566" w:type="dxa"/>
            <w:shd w:val="clear" w:color="auto" w:fill="F2F2F2"/>
          </w:tcPr>
          <w:p>
            <w:pPr/>
            <w:r>
              <w:t xml:space="preserve">Originalitem (Fundstelle)</w:t>
            </w:r>
          </w:p>
        </w:tc>
        <w:tc>
          <w:tcPr>
            <w:tcW w:w="1560" w:type="dxa"/>
            <w:shd w:val="clear" w:color="auto" w:fill="F2F2F2"/>
          </w:tcPr>
          <w:p>
            <w:pPr/>
            <w:r>
              <w:t xml:space="preserve">finales Item</w:t>
            </w:r>
          </w:p>
        </w:tc>
        <w:tc>
          <w:tcPr>
            <w:tcW w:w="3096" w:type="dxa"/>
            <w:shd w:val="clear" w:color="auto" w:fill="F2F2F2"/>
          </w:tcPr>
          <w:p>
            <w:pPr/>
            <w:r>
              <w:t xml:space="preserve">Adaption</w:t>
            </w:r>
          </w:p>
        </w:tc>
        <w:tc>
          <w:tcPr>
            <w:tcW w:w="720" w:type="dxa"/>
            <w:shd w:val="clear" w:color="auto" w:fill="F2F2F2"/>
          </w:tcPr>
          <w:p>
            <w:pPr/>
            <w:r>
              <w:t xml:space="preserve">(R)</w:t>
            </w:r>
          </w:p>
        </w:tc>
      </w:tr>
      <w:tr>
        <w:tc>
          <w:tcPr>
            <w:tcW w:w="1034" w:type="dxa"/>
          </w:tcPr>
          <w:p>
            <w:pPr/>
            <w:r>
              <w:t xml:space="preserve">S1a-01</w:t>
            </w:r>
          </w:p>
        </w:tc>
        <w:tc>
          <w:tcPr>
            <w:tcW w:w="1384" w:type="dxa"/>
          </w:tcPr>
          <w:p>
            <w:pPr/>
            <w:r>
              <w:t xml:space="preserve">Use &amp; Apply</w:t>
            </w:r>
          </w:p>
        </w:tc>
        <w:tc>
          <w:tcPr>
            <w:tcW w:w="1566" w:type="dxa"/>
          </w:tcPr>
          <w:p>
            <w:pPr/>
            <w:r>
              <w:t xml:space="preserve">I can operate AI applications. (S1a PDF-S. 1)</w:t>
            </w:r>
          </w:p>
        </w:tc>
        <w:tc>
          <w:tcPr>
            <w:tcW w:w="1560" w:type="dxa"/>
          </w:tcPr>
          <w:p>
            <w:pPr/>
            <w:r>
              <w:t xml:space="preserve">Ich kann KI-Anwendungen bedienen.</w:t>
            </w:r>
          </w:p>
        </w:tc>
        <w:tc>
          <w:tcPr>
            <w:tcW w:w="3096" w:type="dxa"/>
          </w:tcPr>
          <w:p>
            <w:pPr/>
            <w:r>
              <w:t xml:space="preserve">Ü: Vorwärtsübersetzung [Modellwissen], nicht validiert; Rückübersetzung offen. Fassung S1a statt S1b („everyday“) gewählt [eigene Bewertung]: Arbeitskontext statt Alltag; Pretest: Bezugsrahmen. Itemauswahl 1, 3, 4, 5 [eigene Bewertung]: Aufgaben- und Zielbezug; Item 2 („my life“) und 6 (redundant zu 5) entfallen.</w:t>
            </w:r>
          </w:p>
        </w:tc>
        <w:tc>
          <w:tcPr>
            <w:tcW w:w="720" w:type="dxa"/>
          </w:tcPr>
          <w:p>
            <w:pPr/>
            <w:r>
              <w:t xml:space="preserve">–</w:t>
            </w:r>
          </w:p>
        </w:tc>
      </w:tr>
      <w:tr>
        <w:tc>
          <w:tcPr>
            <w:tcW w:w="1034" w:type="dxa"/>
          </w:tcPr>
          <w:p>
            <w:pPr/>
            <w:r>
              <w:t xml:space="preserve">S1a-03</w:t>
            </w:r>
          </w:p>
        </w:tc>
        <w:tc>
          <w:tcPr>
            <w:tcW w:w="1384" w:type="dxa"/>
          </w:tcPr>
          <w:p>
            <w:pPr/>
            <w:r>
              <w:t xml:space="preserve">Use &amp; Apply</w:t>
            </w:r>
          </w:p>
        </w:tc>
        <w:tc>
          <w:tcPr>
            <w:tcW w:w="1566" w:type="dxa"/>
          </w:tcPr>
          <w:p>
            <w:pPr/>
            <w:r>
              <w:t xml:space="preserve">I can use artificial intelligence meaningfully to achieve my goals. (PDF-S. 1)</w:t>
            </w:r>
          </w:p>
        </w:tc>
        <w:tc>
          <w:tcPr>
            <w:tcW w:w="1560" w:type="dxa"/>
          </w:tcPr>
          <w:p>
            <w:pPr/>
            <w:r>
              <w:t xml:space="preserve">Ich kann künstliche Intelligenz sinnvoll verwenden, um meine Ziele zu erreichen.</w:t>
            </w:r>
          </w:p>
        </w:tc>
        <w:tc>
          <w:tcPr>
            <w:tcW w:w="3096" w:type="dxa"/>
          </w:tcPr>
          <w:p>
            <w:pPr/>
            <w:r>
              <w:t xml:space="preserve">Ü (wie oben). „verwenden“ statt „einsetzen“, weil „einsetzen“ in den BI-Items vorkommt. „meaningfully“ bleibt erhalten: keine Itemkennwerte (C4) → Pretest.</w:t>
            </w:r>
          </w:p>
        </w:tc>
        <w:tc>
          <w:tcPr>
            <w:tcW w:w="720" w:type="dxa"/>
          </w:tcPr>
          <w:p>
            <w:pPr/>
            <w:r>
              <w:t xml:space="preserve">–</w:t>
            </w:r>
          </w:p>
        </w:tc>
      </w:tr>
      <w:tr>
        <w:tc>
          <w:tcPr>
            <w:tcW w:w="1034" w:type="dxa"/>
          </w:tcPr>
          <w:p>
            <w:pPr/>
            <w:r>
              <w:t xml:space="preserve">S1a-04</w:t>
            </w:r>
          </w:p>
        </w:tc>
        <w:tc>
          <w:tcPr>
            <w:tcW w:w="1384" w:type="dxa"/>
          </w:tcPr>
          <w:p>
            <w:pPr/>
            <w:r>
              <w:t xml:space="preserve">Use &amp; Apply</w:t>
            </w:r>
          </w:p>
        </w:tc>
        <w:tc>
          <w:tcPr>
            <w:tcW w:w="1566" w:type="dxa"/>
          </w:tcPr>
          <w:p>
            <w:pPr/>
            <w:r>
              <w:t xml:space="preserve">I can interact with AI in a way that makes my tasks easier. (PDF-S. 1)</w:t>
            </w:r>
          </w:p>
        </w:tc>
        <w:tc>
          <w:tcPr>
            <w:tcW w:w="1560" w:type="dxa"/>
          </w:tcPr>
          <w:p>
            <w:pPr/>
            <w:r>
              <w:t xml:space="preserve">Ich kann mit KI so interagieren, dass es mir meine Aufträge erleichtert.</w:t>
            </w:r>
          </w:p>
        </w:tc>
        <w:tc>
          <w:tcPr>
            <w:tcW w:w="3096" w:type="dxa"/>
          </w:tcPr>
          <w:p>
            <w:pPr/>
            <w:r>
              <w:t xml:space="preserve">Ü. „tasks“ → „Aufträge“, weil „Aufgaben“ in TC/TTF/BI vorkommt [eigene Bewertung]; Pretest: Verständlichkeit.</w:t>
            </w:r>
          </w:p>
        </w:tc>
        <w:tc>
          <w:tcPr>
            <w:tcW w:w="720" w:type="dxa"/>
          </w:tcPr>
          <w:p>
            <w:pPr/>
            <w:r>
              <w:t xml:space="preserve">–</w:t>
            </w:r>
          </w:p>
        </w:tc>
      </w:tr>
      <w:tr>
        <w:tc>
          <w:tcPr>
            <w:tcW w:w="1034" w:type="dxa"/>
          </w:tcPr>
          <w:p>
            <w:pPr/>
            <w:r>
              <w:t xml:space="preserve">S1a-05</w:t>
            </w:r>
          </w:p>
        </w:tc>
        <w:tc>
          <w:tcPr>
            <w:tcW w:w="1384" w:type="dxa"/>
          </w:tcPr>
          <w:p>
            <w:pPr/>
            <w:r>
              <w:t xml:space="preserve">Use &amp; Apply</w:t>
            </w:r>
          </w:p>
        </w:tc>
        <w:tc>
          <w:tcPr>
            <w:tcW w:w="1566" w:type="dxa"/>
          </w:tcPr>
          <w:p>
            <w:pPr/>
            <w:r>
              <w:t xml:space="preserve">I can work together gainfully with an artificial intelligence. (PDF-S. 1)</w:t>
            </w:r>
          </w:p>
        </w:tc>
        <w:tc>
          <w:tcPr>
            <w:tcW w:w="1560" w:type="dxa"/>
          </w:tcPr>
          <w:p>
            <w:pPr/>
            <w:r>
              <w:t xml:space="preserve">Ich kann gewinnbringend mit einer künstlichen Intelligenz zusammenarbeiten.</w:t>
            </w:r>
          </w:p>
        </w:tc>
        <w:tc>
          <w:tcPr>
            <w:tcW w:w="3096" w:type="dxa"/>
          </w:tcPr>
          <w:p>
            <w:pPr/>
            <w:r>
              <w:t xml:space="preserve">Ü. „gainfully“ ist mehrdeutig, bleibt erhalten; keine Itemkennwerte → Pretest.</w:t>
            </w:r>
          </w:p>
        </w:tc>
        <w:tc>
          <w:tcPr>
            <w:tcW w:w="720" w:type="dxa"/>
          </w:tcPr>
          <w:p>
            <w:pPr/>
            <w:r>
              <w:t xml:space="preserve">–</w:t>
            </w:r>
          </w:p>
        </w:tc>
      </w:tr>
      <w:tr>
        <w:tc>
          <w:tcPr>
            <w:tcW w:w="1034" w:type="dxa"/>
          </w:tcPr>
          <w:p>
            <w:pPr/>
            <w:r>
              <w:t xml:space="preserve">S1a-07</w:t>
            </w:r>
          </w:p>
        </w:tc>
        <w:tc>
          <w:tcPr>
            <w:tcW w:w="1384" w:type="dxa"/>
          </w:tcPr>
          <w:p>
            <w:pPr/>
            <w:r>
              <w:t xml:space="preserve">Know &amp; Understand</w:t>
            </w:r>
          </w:p>
        </w:tc>
        <w:tc>
          <w:tcPr>
            <w:tcW w:w="1566" w:type="dxa"/>
          </w:tcPr>
          <w:p>
            <w:pPr/>
            <w:r>
              <w:t xml:space="preserve">I know the most important concepts of the topic "artificial intelligence". (PDF-S. 1)</w:t>
            </w:r>
          </w:p>
        </w:tc>
        <w:tc>
          <w:tcPr>
            <w:tcW w:w="1560" w:type="dxa"/>
          </w:tcPr>
          <w:p>
            <w:pPr/>
            <w:r>
              <w:t xml:space="preserve">Ich kenne die wichtigsten Konzepte des Themas „künstliche Intelligenz“.</w:t>
            </w:r>
          </w:p>
        </w:tc>
        <w:tc>
          <w:tcPr>
            <w:tcW w:w="3096" w:type="dxa"/>
          </w:tcPr>
          <w:p>
            <w:pPr/>
            <w:r>
              <w:t xml:space="preserve">Ü. Itemauswahl 7, 8, 9, 12 [eigene Bewertung]: Item 10 entfällt, weil die Übersetzung „Vor- und Nachteile“ (Begriff der TTF/TC-Urteilsitems) erfordert und es inhaltlich Item 9 überschneidet; Item 11 entfällt, weil „neu“ in den TC/TTF-Kreativitätsitems vorkommt.</w:t>
            </w:r>
          </w:p>
        </w:tc>
        <w:tc>
          <w:tcPr>
            <w:tcW w:w="720" w:type="dxa"/>
          </w:tcPr>
          <w:p>
            <w:pPr/>
            <w:r>
              <w:t xml:space="preserve">–</w:t>
            </w:r>
          </w:p>
        </w:tc>
      </w:tr>
      <w:tr>
        <w:tc>
          <w:tcPr>
            <w:tcW w:w="1034" w:type="dxa"/>
          </w:tcPr>
          <w:p>
            <w:pPr/>
            <w:r>
              <w:t xml:space="preserve">S1a-08</w:t>
            </w:r>
          </w:p>
        </w:tc>
        <w:tc>
          <w:tcPr>
            <w:tcW w:w="1384" w:type="dxa"/>
          </w:tcPr>
          <w:p>
            <w:pPr/>
            <w:r>
              <w:t xml:space="preserve">Know &amp; Understand</w:t>
            </w:r>
          </w:p>
        </w:tc>
        <w:tc>
          <w:tcPr>
            <w:tcW w:w="1566" w:type="dxa"/>
          </w:tcPr>
          <w:p>
            <w:pPr/>
            <w:r>
              <w:t xml:space="preserve">I know definitions of artificial intelligence. (PDF-S. 1)</w:t>
            </w:r>
          </w:p>
        </w:tc>
        <w:tc>
          <w:tcPr>
            <w:tcW w:w="1560" w:type="dxa"/>
          </w:tcPr>
          <w:p>
            <w:pPr/>
            <w:r>
              <w:t xml:space="preserve">Ich kenne Definitionen von künstlicher Intelligenz.</w:t>
            </w:r>
          </w:p>
        </w:tc>
        <w:tc>
          <w:tcPr>
            <w:tcW w:w="3096" w:type="dxa"/>
          </w:tcPr>
          <w:p>
            <w:pPr/>
            <w:r>
              <w:t xml:space="preserve">Ü</w:t>
            </w:r>
          </w:p>
        </w:tc>
        <w:tc>
          <w:tcPr>
            <w:tcW w:w="720" w:type="dxa"/>
          </w:tcPr>
          <w:p>
            <w:pPr/>
            <w:r>
              <w:t xml:space="preserve">–</w:t>
            </w:r>
          </w:p>
        </w:tc>
      </w:tr>
      <w:tr>
        <w:tc>
          <w:tcPr>
            <w:tcW w:w="1034" w:type="dxa"/>
          </w:tcPr>
          <w:p>
            <w:pPr/>
            <w:r>
              <w:t xml:space="preserve">S1a-09</w:t>
            </w:r>
          </w:p>
        </w:tc>
        <w:tc>
          <w:tcPr>
            <w:tcW w:w="1384" w:type="dxa"/>
          </w:tcPr>
          <w:p>
            <w:pPr/>
            <w:r>
              <w:t xml:space="preserve">Know &amp; Understand</w:t>
            </w:r>
          </w:p>
        </w:tc>
        <w:tc>
          <w:tcPr>
            <w:tcW w:w="1566" w:type="dxa"/>
          </w:tcPr>
          <w:p>
            <w:pPr/>
            <w:r>
              <w:t xml:space="preserve">I can assess what the limitations and opportunities of using an AI are. (PDF-S. 1)</w:t>
            </w:r>
          </w:p>
        </w:tc>
        <w:tc>
          <w:tcPr>
            <w:tcW w:w="1560" w:type="dxa"/>
          </w:tcPr>
          <w:p>
            <w:pPr/>
            <w:r>
              <w:t xml:space="preserve">Ich kann einschätzen, welche Grenzen und Möglichkeiten die Verwendung einer KI hat.</w:t>
            </w:r>
          </w:p>
        </w:tc>
        <w:tc>
          <w:tcPr>
            <w:tcW w:w="3096" w:type="dxa"/>
          </w:tcPr>
          <w:p>
            <w:pPr/>
            <w:r>
              <w:t xml:space="preserve">Ü. Das Begriffspaar bleibt erhalten; keine Itemkennwerte. Beleg: Bewertungsitems „loaded on the factor for Know &amp; understand AI“ (S1b S. 7) → Pretest: Zweidimensionalität.</w:t>
            </w:r>
          </w:p>
        </w:tc>
        <w:tc>
          <w:tcPr>
            <w:tcW w:w="720" w:type="dxa"/>
          </w:tcPr>
          <w:p>
            <w:pPr/>
            <w:r>
              <w:t xml:space="preserve">–</w:t>
            </w:r>
          </w:p>
        </w:tc>
      </w:tr>
      <w:tr>
        <w:tc>
          <w:tcPr>
            <w:tcW w:w="1034" w:type="dxa"/>
          </w:tcPr>
          <w:p>
            <w:pPr/>
            <w:r>
              <w:t xml:space="preserve">S1a-12</w:t>
            </w:r>
          </w:p>
        </w:tc>
        <w:tc>
          <w:tcPr>
            <w:tcW w:w="1384" w:type="dxa"/>
          </w:tcPr>
          <w:p>
            <w:pPr/>
            <w:r>
              <w:t xml:space="preserve">Know &amp; Understand</w:t>
            </w:r>
          </w:p>
        </w:tc>
        <w:tc>
          <w:tcPr>
            <w:tcW w:w="1566" w:type="dxa"/>
          </w:tcPr>
          <w:p>
            <w:pPr/>
            <w:r>
              <w:t xml:space="preserve">I can imagine possible future uses of AI. (PDF-S. 1)</w:t>
            </w:r>
          </w:p>
        </w:tc>
        <w:tc>
          <w:tcPr>
            <w:tcW w:w="1560" w:type="dxa"/>
          </w:tcPr>
          <w:p>
            <w:pPr/>
            <w:r>
              <w:t xml:space="preserve">Ich kann mir mögliche zukünftige Verwendungen von KI vorstellen.</w:t>
            </w:r>
          </w:p>
        </w:tc>
        <w:tc>
          <w:tcPr>
            <w:tcW w:w="3096" w:type="dxa"/>
          </w:tcPr>
          <w:p>
            <w:pPr/>
            <w:r>
              <w:t xml:space="preserve">Ü. ⚠ Begriffsnähe „zukünftig“ zu BI „künftig“, als Konflikt dokumentiert → Pretest.</w:t>
            </w:r>
          </w:p>
        </w:tc>
        <w:tc>
          <w:tcPr>
            <w:tcW w:w="720" w:type="dxa"/>
          </w:tcPr>
          <w:p>
            <w:pPr/>
            <w:r>
              <w:t xml:space="preserve">–</w:t>
            </w:r>
          </w:p>
        </w:tc>
      </w:tr>
    </w:tbl>
    <w:p>
      <w:pPr/>
      <w:r>
        <w:t xml:space="preserve">Zu Polung und Kennwerten in D1: Alle Items sind gleich gepolt, der Wortlaut bleibt. Kennwerte: α = 0.93 (Use &amp; Apply) und α = 0.87 (Know &amp; Understand) (S1b S. 6). Pretest-Prüfpunkt: Zustimmungstendenz.</w:t>
      </w:r>
    </w:p>
    <w:p>
      <w:pPr>
        <w:pStyle w:val="Heading3"/>
      </w:pPr>
      <w:r>
        <w:t xml:space="preserve">D2 – KI-Selbstwirksamkeit (MAILS)</w:t>
      </w:r>
    </w:p>
    <w:tbl>
      <w:tblPr>
        <w:tblStyle w:val="TableGrid"/>
        <w:tblW w:w="0" w:type="auto"/>
        <w:tblLayout w:type="fixed"/>
        <w:tblLook w:val="04A0" w:firstRow="1" w:lastRow="0" w:firstColumn="0" w:lastColumn="0" w:noHBand="0" w:noVBand="1"/>
      </w:tblPr>
      <w:tblGrid>
        <w:gridCol w:w="1034"/>
        <w:gridCol w:w="1225"/>
        <w:gridCol w:w="2051"/>
        <w:gridCol w:w="2174"/>
        <w:gridCol w:w="2156"/>
        <w:gridCol w:w="720"/>
      </w:tblGrid>
      <w:tr>
        <w:trPr>
          <w:tblHeader/>
        </w:trPr>
        <w:tc>
          <w:tcPr>
            <w:tcW w:w="1034" w:type="dxa"/>
            <w:shd w:val="clear" w:color="auto" w:fill="F2F2F2"/>
          </w:tcPr>
          <w:p>
            <w:pPr/>
            <w:r>
              <w:t xml:space="preserve">Item-ID</w:t>
            </w:r>
          </w:p>
        </w:tc>
        <w:tc>
          <w:tcPr>
            <w:tcW w:w="1225" w:type="dxa"/>
            <w:shd w:val="clear" w:color="auto" w:fill="F2F2F2"/>
          </w:tcPr>
          <w:p>
            <w:pPr/>
            <w:r>
              <w:t xml:space="preserve">Konstrukt</w:t>
            </w:r>
          </w:p>
        </w:tc>
        <w:tc>
          <w:tcPr>
            <w:tcW w:w="2051" w:type="dxa"/>
            <w:shd w:val="clear" w:color="auto" w:fill="F2F2F2"/>
          </w:tcPr>
          <w:p>
            <w:pPr/>
            <w:r>
              <w:t xml:space="preserve">Originalitem (Fundstelle)</w:t>
            </w:r>
          </w:p>
        </w:tc>
        <w:tc>
          <w:tcPr>
            <w:tcW w:w="2174" w:type="dxa"/>
            <w:shd w:val="clear" w:color="auto" w:fill="F2F2F2"/>
          </w:tcPr>
          <w:p>
            <w:pPr/>
            <w:r>
              <w:t xml:space="preserve">finales Item</w:t>
            </w:r>
          </w:p>
        </w:tc>
        <w:tc>
          <w:tcPr>
            <w:tcW w:w="2156" w:type="dxa"/>
            <w:shd w:val="clear" w:color="auto" w:fill="F2F2F2"/>
          </w:tcPr>
          <w:p>
            <w:pPr/>
            <w:r>
              <w:t xml:space="preserve">Adaption</w:t>
            </w:r>
          </w:p>
        </w:tc>
        <w:tc>
          <w:tcPr>
            <w:tcW w:w="720" w:type="dxa"/>
            <w:shd w:val="clear" w:color="auto" w:fill="F2F2F2"/>
          </w:tcPr>
          <w:p>
            <w:pPr/>
            <w:r>
              <w:t xml:space="preserve">(R)</w:t>
            </w:r>
          </w:p>
        </w:tc>
      </w:tr>
      <w:tr>
        <w:tc>
          <w:tcPr>
            <w:tcW w:w="1034" w:type="dxa"/>
          </w:tcPr>
          <w:p>
            <w:pPr/>
            <w:r>
              <w:t xml:space="preserve">S1a-23</w:t>
            </w:r>
          </w:p>
        </w:tc>
        <w:tc>
          <w:tcPr>
            <w:tcW w:w="1225" w:type="dxa"/>
          </w:tcPr>
          <w:p>
            <w:pPr/>
            <w:r>
              <w:t xml:space="preserve">AI Problem solving</w:t>
            </w:r>
          </w:p>
        </w:tc>
        <w:tc>
          <w:tcPr>
            <w:tcW w:w="2051" w:type="dxa"/>
          </w:tcPr>
          <w:p>
            <w:pPr/>
            <w:r>
              <w:t xml:space="preserve">I can rely on my skills in difficult situations when using AI. (PDF-S. 2)</w:t>
            </w:r>
          </w:p>
        </w:tc>
        <w:tc>
          <w:tcPr>
            <w:tcW w:w="2174" w:type="dxa"/>
          </w:tcPr>
          <w:p>
            <w:pPr/>
            <w:r>
              <w:t xml:space="preserve">Ich kann mich in schwierigen Situationen bei der Verwendung von KI auf meine Fähigkeiten verlassen.</w:t>
            </w:r>
          </w:p>
        </w:tc>
        <w:tc>
          <w:tcPr>
            <w:tcW w:w="2156" w:type="dxa"/>
          </w:tcPr>
          <w:p>
            <w:pPr/>
            <w:r>
              <w:t xml:space="preserve">Ü. Fähigkeitsurteil, setzt keine Nutzung voraus (Regel 8); Pretest: Beantwortbarkeit ohne Erfahrung. Alle 3 Items übernommen.</w:t>
            </w:r>
          </w:p>
        </w:tc>
        <w:tc>
          <w:tcPr>
            <w:tcW w:w="720" w:type="dxa"/>
          </w:tcPr>
          <w:p>
            <w:pPr/>
            <w:r>
              <w:t xml:space="preserve">–</w:t>
            </w:r>
          </w:p>
        </w:tc>
      </w:tr>
      <w:tr>
        <w:tc>
          <w:tcPr>
            <w:tcW w:w="1034" w:type="dxa"/>
          </w:tcPr>
          <w:p>
            <w:pPr/>
            <w:r>
              <w:t xml:space="preserve">S1a-24</w:t>
            </w:r>
          </w:p>
        </w:tc>
        <w:tc>
          <w:tcPr>
            <w:tcW w:w="1225" w:type="dxa"/>
          </w:tcPr>
          <w:p>
            <w:pPr/>
            <w:r>
              <w:t xml:space="preserve">AI Problem solving</w:t>
            </w:r>
          </w:p>
        </w:tc>
        <w:tc>
          <w:tcPr>
            <w:tcW w:w="2051" w:type="dxa"/>
          </w:tcPr>
          <w:p>
            <w:pPr/>
            <w:r>
              <w:t xml:space="preserve">I can handle most problems in dealing with artificial intelligence well on my own. (PDF-S. 2)</w:t>
            </w:r>
          </w:p>
        </w:tc>
        <w:tc>
          <w:tcPr>
            <w:tcW w:w="2174" w:type="dxa"/>
          </w:tcPr>
          <w:p>
            <w:pPr/>
            <w:r>
              <w:t xml:space="preserve">Ich kann die meisten Probleme im Umgang mit künstlicher Intelligenz gut allein bewältigen.</w:t>
            </w:r>
          </w:p>
        </w:tc>
        <w:tc>
          <w:tcPr>
            <w:tcW w:w="2156" w:type="dxa"/>
          </w:tcPr>
          <w:p>
            <w:pPr/>
            <w:r>
              <w:t xml:space="preserve">Ü. „most“ und „well“ bleiben erhalten; keine Itemkennwerte; Beleg: Definition S1b S. 6 → Pretest.</w:t>
            </w:r>
          </w:p>
        </w:tc>
        <w:tc>
          <w:tcPr>
            <w:tcW w:w="720" w:type="dxa"/>
          </w:tcPr>
          <w:p>
            <w:pPr/>
            <w:r>
              <w:t xml:space="preserve">–</w:t>
            </w:r>
          </w:p>
        </w:tc>
      </w:tr>
      <w:tr>
        <w:tc>
          <w:tcPr>
            <w:tcW w:w="1034" w:type="dxa"/>
          </w:tcPr>
          <w:p>
            <w:pPr/>
            <w:r>
              <w:t xml:space="preserve">S1a-25</w:t>
            </w:r>
          </w:p>
        </w:tc>
        <w:tc>
          <w:tcPr>
            <w:tcW w:w="1225" w:type="dxa"/>
          </w:tcPr>
          <w:p>
            <w:pPr/>
            <w:r>
              <w:t xml:space="preserve">AI Problem solving</w:t>
            </w:r>
          </w:p>
        </w:tc>
        <w:tc>
          <w:tcPr>
            <w:tcW w:w="2051" w:type="dxa"/>
          </w:tcPr>
          <w:p>
            <w:pPr/>
            <w:r>
              <w:t xml:space="preserve">I can also usually solve strenuous and complicated tasks when working with artificial intelligence well. (PDF-S. 2)</w:t>
            </w:r>
          </w:p>
        </w:tc>
        <w:tc>
          <w:tcPr>
            <w:tcW w:w="2174" w:type="dxa"/>
          </w:tcPr>
          <w:p>
            <w:pPr/>
            <w:r>
              <w:t xml:space="preserve">Ich kann auch anstrengende und komplizierte Aufträge im Umgang mit künstlicher Intelligenz meist gut bewältigen.</w:t>
            </w:r>
          </w:p>
        </w:tc>
        <w:tc>
          <w:tcPr>
            <w:tcW w:w="2156" w:type="dxa"/>
          </w:tcPr>
          <w:p>
            <w:pPr/>
            <w:r>
              <w:t xml:space="preserve">Ü. „lösen“ vermieden (kommt im TC/TTF-Item MIX-2 vor), „Aufträge“ statt „Aufgaben“. Begriffspaar und „usually“ bleiben erhalten → Pretest.</w:t>
            </w:r>
          </w:p>
        </w:tc>
        <w:tc>
          <w:tcPr>
            <w:tcW w:w="720" w:type="dxa"/>
          </w:tcPr>
          <w:p>
            <w:pPr/>
            <w:r>
              <w:t xml:space="preserve">–</w:t>
            </w:r>
          </w:p>
        </w:tc>
      </w:tr>
      <w:tr>
        <w:tc>
          <w:tcPr>
            <w:tcW w:w="1034" w:type="dxa"/>
          </w:tcPr>
          <w:p>
            <w:pPr/>
            <w:r>
              <w:t xml:space="preserve">S1a-26</w:t>
            </w:r>
          </w:p>
        </w:tc>
        <w:tc>
          <w:tcPr>
            <w:tcW w:w="1225" w:type="dxa"/>
          </w:tcPr>
          <w:p>
            <w:pPr/>
            <w:r>
              <w:t xml:space="preserve">Learning</w:t>
            </w:r>
          </w:p>
        </w:tc>
        <w:tc>
          <w:tcPr>
            <w:tcW w:w="2051" w:type="dxa"/>
          </w:tcPr>
          <w:p>
            <w:pPr/>
            <w:r>
              <w:t xml:space="preserve">Despite the rapid changes in the field of artificial intelligence, I can always keep up to date. (PDF-S. 2)</w:t>
            </w:r>
          </w:p>
        </w:tc>
        <w:tc>
          <w:tcPr>
            <w:tcW w:w="2174" w:type="dxa"/>
          </w:tcPr>
          <w:p>
            <w:pPr/>
            <w:r>
              <w:t xml:space="preserve">Trotz der schnellen Veränderungen im Bereich künstliche Intelligenz kann ich mich immer auf dem neuesten Stand halten.</w:t>
            </w:r>
          </w:p>
        </w:tc>
        <w:tc>
          <w:tcPr>
            <w:tcW w:w="2156" w:type="dxa"/>
          </w:tcPr>
          <w:p>
            <w:pPr/>
            <w:r>
              <w:t xml:space="preserve">Ü. ⚠ In S1b steht das Item an Position 27; Fassung S1a gewählt (konsistent mit dem übrigen Itemblatt). „always“ bleibt erhalten; Beleg: Definition „keep up to date“ (S1b S. 6) → Pretest.</w:t>
            </w:r>
          </w:p>
        </w:tc>
        <w:tc>
          <w:tcPr>
            <w:tcW w:w="720" w:type="dxa"/>
          </w:tcPr>
          <w:p>
            <w:pPr/>
            <w:r>
              <w:t xml:space="preserve">–</w:t>
            </w:r>
          </w:p>
        </w:tc>
      </w:tr>
      <w:tr>
        <w:tc>
          <w:tcPr>
            <w:tcW w:w="1034" w:type="dxa"/>
          </w:tcPr>
          <w:p>
            <w:pPr/>
            <w:r>
              <w:t xml:space="preserve">S1a-27</w:t>
            </w:r>
          </w:p>
        </w:tc>
        <w:tc>
          <w:tcPr>
            <w:tcW w:w="1225" w:type="dxa"/>
          </w:tcPr>
          <w:p>
            <w:pPr/>
            <w:r>
              <w:t xml:space="preserve">Learning</w:t>
            </w:r>
          </w:p>
        </w:tc>
        <w:tc>
          <w:tcPr>
            <w:tcW w:w="2051" w:type="dxa"/>
          </w:tcPr>
          <w:p>
            <w:pPr/>
            <w:r>
              <w:t xml:space="preserve">I can keep up with the latest innovations in AI applications. (PDF-S. 2)</w:t>
            </w:r>
          </w:p>
        </w:tc>
        <w:tc>
          <w:tcPr>
            <w:tcW w:w="2174" w:type="dxa"/>
          </w:tcPr>
          <w:p>
            <w:pPr/>
            <w:r>
              <w:t xml:space="preserve">Ich kann mit den neuesten Innovationen bei KI-Anwendungen Schritt halten.</w:t>
            </w:r>
          </w:p>
        </w:tc>
        <w:tc>
          <w:tcPr>
            <w:tcW w:w="2156" w:type="dxa"/>
          </w:tcPr>
          <w:p>
            <w:pPr/>
            <w:r>
              <w:t xml:space="preserve">Ü</w:t>
            </w:r>
          </w:p>
        </w:tc>
        <w:tc>
          <w:tcPr>
            <w:tcW w:w="720" w:type="dxa"/>
          </w:tcPr>
          <w:p>
            <w:pPr/>
            <w:r>
              <w:t xml:space="preserve">–</w:t>
            </w:r>
          </w:p>
        </w:tc>
      </w:tr>
      <w:tr>
        <w:tc>
          <w:tcPr>
            <w:tcW w:w="1034" w:type="dxa"/>
          </w:tcPr>
          <w:p>
            <w:pPr/>
            <w:r>
              <w:t xml:space="preserve">S1a-28</w:t>
            </w:r>
          </w:p>
        </w:tc>
        <w:tc>
          <w:tcPr>
            <w:tcW w:w="1225" w:type="dxa"/>
          </w:tcPr>
          <w:p>
            <w:pPr/>
            <w:r>
              <w:t xml:space="preserve">Learning</w:t>
            </w:r>
          </w:p>
        </w:tc>
        <w:tc>
          <w:tcPr>
            <w:tcW w:w="2051" w:type="dxa"/>
          </w:tcPr>
          <w:p>
            <w:pPr/>
            <w:r>
              <w:t xml:space="preserve">Although there are often new AI applications, I manage to always be "up-to date". (PDF-S. 2)</w:t>
            </w:r>
          </w:p>
        </w:tc>
        <w:tc>
          <w:tcPr>
            <w:tcW w:w="2174" w:type="dxa"/>
          </w:tcPr>
          <w:p>
            <w:pPr/>
            <w:r>
              <w:t xml:space="preserve">Obwohl es oft neue KI-Anwendungen gibt, schaffe ich es, immer „auf dem Laufenden“ zu sein.</w:t>
            </w:r>
          </w:p>
        </w:tc>
        <w:tc>
          <w:tcPr>
            <w:tcW w:w="2156" w:type="dxa"/>
          </w:tcPr>
          <w:p>
            <w:pPr/>
            <w:r>
              <w:t xml:space="preserve">Ü. „always“ bleibt erhalten → Pretest.</w:t>
            </w:r>
          </w:p>
        </w:tc>
        <w:tc>
          <w:tcPr>
            <w:tcW w:w="720" w:type="dxa"/>
          </w:tcPr>
          <w:p>
            <w:pPr/>
            <w:r>
              <w:t xml:space="preserve">–</w:t>
            </w:r>
          </w:p>
        </w:tc>
      </w:tr>
    </w:tbl>
    <w:p>
      <w:pPr/>
      <w:r>
        <w:t xml:space="preserve">Zu Polung und Kennwerten in D2: Alle Items sind gleich gepolt. Kennwerte: α = 0.84 je Subskala (S1b S. 6). Die Originalskala 0–10 bleibt: Die Quelle begründet sie inhaltlich („certainty of being able to show a behavior“, S1b S. 6), und die Subskalen werden getrennt ausgewertet. Die Zusatzoption „kann ich nicht beurteilen“ ist S. Der Urteilstyp (Fähigkeitseinschätzung) bleibt unverändert.</w:t>
      </w:r>
    </w:p>
    <w:p>
      <w:pPr>
        <w:pStyle w:val="Heading3"/>
      </w:pPr>
      <w:r>
        <w:t xml:space="preserve">D3 – Einstellung gegenüber KI (ATAI)</w:t>
      </w:r>
    </w:p>
    <w:tbl>
      <w:tblPr>
        <w:tblStyle w:val="TableGrid"/>
        <w:tblW w:w="0" w:type="auto"/>
        <w:tblLayout w:type="fixed"/>
        <w:tblLook w:val="04A0" w:firstRow="1" w:lastRow="0" w:firstColumn="0" w:lastColumn="0" w:noHBand="0" w:noVBand="1"/>
      </w:tblPr>
      <w:tblGrid>
        <w:gridCol w:w="1380"/>
        <w:gridCol w:w="1423"/>
        <w:gridCol w:w="1828"/>
        <w:gridCol w:w="1438"/>
        <w:gridCol w:w="2571"/>
        <w:gridCol w:w="720"/>
      </w:tblGrid>
      <w:tr>
        <w:trPr>
          <w:tblHeader/>
        </w:trPr>
        <w:tc>
          <w:tcPr>
            <w:tcW w:w="1380" w:type="dxa"/>
            <w:shd w:val="clear" w:color="auto" w:fill="F2F2F2"/>
          </w:tcPr>
          <w:p>
            <w:pPr/>
            <w:r>
              <w:t xml:space="preserve">Item-ID</w:t>
            </w:r>
          </w:p>
        </w:tc>
        <w:tc>
          <w:tcPr>
            <w:tcW w:w="1423" w:type="dxa"/>
            <w:shd w:val="clear" w:color="auto" w:fill="F2F2F2"/>
          </w:tcPr>
          <w:p>
            <w:pPr/>
            <w:r>
              <w:t xml:space="preserve">Konstrukt</w:t>
            </w:r>
          </w:p>
        </w:tc>
        <w:tc>
          <w:tcPr>
            <w:tcW w:w="1828" w:type="dxa"/>
            <w:shd w:val="clear" w:color="auto" w:fill="F2F2F2"/>
          </w:tcPr>
          <w:p>
            <w:pPr/>
            <w:r>
              <w:t xml:space="preserve">Originalitem (Fundstelle)</w:t>
            </w:r>
          </w:p>
        </w:tc>
        <w:tc>
          <w:tcPr>
            <w:tcW w:w="1438" w:type="dxa"/>
            <w:shd w:val="clear" w:color="auto" w:fill="F2F2F2"/>
          </w:tcPr>
          <w:p>
            <w:pPr/>
            <w:r>
              <w:t xml:space="preserve">finales Item</w:t>
            </w:r>
          </w:p>
        </w:tc>
        <w:tc>
          <w:tcPr>
            <w:tcW w:w="2571" w:type="dxa"/>
            <w:shd w:val="clear" w:color="auto" w:fill="F2F2F2"/>
          </w:tcPr>
          <w:p>
            <w:pPr/>
            <w:r>
              <w:t xml:space="preserve">Adaption</w:t>
            </w:r>
          </w:p>
        </w:tc>
        <w:tc>
          <w:tcPr>
            <w:tcW w:w="720" w:type="dxa"/>
            <w:shd w:val="clear" w:color="auto" w:fill="F2F2F2"/>
          </w:tcPr>
          <w:p>
            <w:pPr/>
            <w:r>
              <w:t xml:space="preserve">(R)</w:t>
            </w:r>
          </w:p>
        </w:tc>
      </w:tr>
      <w:tr>
        <w:tc>
          <w:tcPr>
            <w:tcW w:w="1380" w:type="dxa"/>
          </w:tcPr>
          <w:p>
            <w:pPr/>
            <w:r>
              <w:t xml:space="preserve">S2-ATAI02</w:t>
            </w:r>
          </w:p>
        </w:tc>
        <w:tc>
          <w:tcPr>
            <w:tcW w:w="1423" w:type="dxa"/>
          </w:tcPr>
          <w:p>
            <w:pPr/>
            <w:r>
              <w:t xml:space="preserve">Acceptance</w:t>
            </w:r>
          </w:p>
        </w:tc>
        <w:tc>
          <w:tcPr>
            <w:tcW w:w="1828" w:type="dxa"/>
          </w:tcPr>
          <w:p>
            <w:pPr/>
            <w:r>
              <w:t xml:space="preserve">Ich vertraue künstlicher Intelligenz. (Tab. 1, S. 112)</w:t>
            </w:r>
          </w:p>
        </w:tc>
        <w:tc>
          <w:tcPr>
            <w:tcW w:w="1438" w:type="dxa"/>
          </w:tcPr>
          <w:p>
            <w:pPr/>
            <w:r>
              <w:t xml:space="preserve">Ich vertraue künstlicher Intelligenz.</w:t>
            </w:r>
          </w:p>
        </w:tc>
        <w:tc>
          <w:tcPr>
            <w:tcW w:w="2571" w:type="dxa"/>
          </w:tcPr>
          <w:p>
            <w:pPr/>
            <w:r>
              <w:t xml:space="preserve">S: Option „kann ich nicht beurteilen“; deutsche Anker übersetzt (Ü). Wortlaut unverändert. Die Quelle hat nur 2 Items → beide. Ladung 0.69 (S. 113).</w:t>
            </w:r>
          </w:p>
        </w:tc>
        <w:tc>
          <w:tcPr>
            <w:tcW w:w="720" w:type="dxa"/>
          </w:tcPr>
          <w:p>
            <w:pPr/>
            <w:r>
              <w:t xml:space="preserve">–</w:t>
            </w:r>
          </w:p>
        </w:tc>
      </w:tr>
      <w:tr>
        <w:tc>
          <w:tcPr>
            <w:tcW w:w="1380" w:type="dxa"/>
          </w:tcPr>
          <w:p>
            <w:pPr/>
            <w:r>
              <w:t xml:space="preserve">S2-ATAI04</w:t>
            </w:r>
          </w:p>
        </w:tc>
        <w:tc>
          <w:tcPr>
            <w:tcW w:w="1423" w:type="dxa"/>
          </w:tcPr>
          <w:p>
            <w:pPr/>
            <w:r>
              <w:t xml:space="preserve">Acceptance</w:t>
            </w:r>
          </w:p>
        </w:tc>
        <w:tc>
          <w:tcPr>
            <w:tcW w:w="1828" w:type="dxa"/>
          </w:tcPr>
          <w:p>
            <w:pPr/>
            <w:r>
              <w:t xml:space="preserve">Künstliche Intelligenz wird eine Bereicherung für die Menschheit sein. (S. 112)</w:t>
            </w:r>
          </w:p>
        </w:tc>
        <w:tc>
          <w:tcPr>
            <w:tcW w:w="1438" w:type="dxa"/>
          </w:tcPr>
          <w:p>
            <w:pPr/>
            <w:r>
              <w:t xml:space="preserve">unverändert</w:t>
            </w:r>
          </w:p>
        </w:tc>
        <w:tc>
          <w:tcPr>
            <w:tcW w:w="2571" w:type="dxa"/>
          </w:tcPr>
          <w:p>
            <w:pPr/>
            <w:r>
              <w:t xml:space="preserve">S (wie oben). Futur bleibt. Ladung 0.71.</w:t>
            </w:r>
          </w:p>
        </w:tc>
        <w:tc>
          <w:tcPr>
            <w:tcW w:w="720" w:type="dxa"/>
          </w:tcPr>
          <w:p>
            <w:pPr/>
            <w:r>
              <w:t xml:space="preserve">–</w:t>
            </w:r>
          </w:p>
        </w:tc>
      </w:tr>
      <w:tr>
        <w:tc>
          <w:tcPr>
            <w:tcW w:w="1380" w:type="dxa"/>
          </w:tcPr>
          <w:p>
            <w:pPr/>
            <w:r>
              <w:t xml:space="preserve">S2-ATAI01</w:t>
            </w:r>
          </w:p>
        </w:tc>
        <w:tc>
          <w:tcPr>
            <w:tcW w:w="1423" w:type="dxa"/>
          </w:tcPr>
          <w:p>
            <w:pPr/>
            <w:r>
              <w:t xml:space="preserve">Fear</w:t>
            </w:r>
          </w:p>
        </w:tc>
        <w:tc>
          <w:tcPr>
            <w:tcW w:w="1828" w:type="dxa"/>
          </w:tcPr>
          <w:p>
            <w:pPr/>
            <w:r>
              <w:t xml:space="preserve">Ich habe Angst vor künstlicher Intelligenz. (S. 112)</w:t>
            </w:r>
          </w:p>
        </w:tc>
        <w:tc>
          <w:tcPr>
            <w:tcW w:w="1438" w:type="dxa"/>
          </w:tcPr>
          <w:p>
            <w:pPr/>
            <w:r>
              <w:t xml:space="preserve">unverändert</w:t>
            </w:r>
          </w:p>
        </w:tc>
        <w:tc>
          <w:tcPr>
            <w:tcW w:w="2571" w:type="dxa"/>
          </w:tcPr>
          <w:p>
            <w:pPr/>
            <w:r>
              <w:t xml:space="preserve">S. Ladung 0.83. Eigener Faktor, nicht invers (S. 113).</w:t>
            </w:r>
          </w:p>
        </w:tc>
        <w:tc>
          <w:tcPr>
            <w:tcW w:w="720" w:type="dxa"/>
          </w:tcPr>
          <w:p>
            <w:pPr/>
            <w:r>
              <w:t xml:space="preserve">–</w:t>
            </w:r>
          </w:p>
        </w:tc>
      </w:tr>
      <w:tr>
        <w:tc>
          <w:tcPr>
            <w:tcW w:w="1380" w:type="dxa"/>
          </w:tcPr>
          <w:p>
            <w:pPr/>
            <w:r>
              <w:t xml:space="preserve">S2-ATAI03</w:t>
            </w:r>
          </w:p>
        </w:tc>
        <w:tc>
          <w:tcPr>
            <w:tcW w:w="1423" w:type="dxa"/>
          </w:tcPr>
          <w:p>
            <w:pPr/>
            <w:r>
              <w:t xml:space="preserve">Fear</w:t>
            </w:r>
          </w:p>
        </w:tc>
        <w:tc>
          <w:tcPr>
            <w:tcW w:w="1828" w:type="dxa"/>
          </w:tcPr>
          <w:p>
            <w:pPr/>
            <w:r>
              <w:t xml:space="preserve">Künstliche Intelligenz wird die Menschheit zerstören. (S. 112)</w:t>
            </w:r>
          </w:p>
        </w:tc>
        <w:tc>
          <w:tcPr>
            <w:tcW w:w="1438" w:type="dxa"/>
          </w:tcPr>
          <w:p>
            <w:pPr/>
            <w:r>
              <w:t xml:space="preserve">unverändert</w:t>
            </w:r>
          </w:p>
        </w:tc>
        <w:tc>
          <w:tcPr>
            <w:tcW w:w="2571" w:type="dxa"/>
          </w:tcPr>
          <w:p>
            <w:pPr/>
            <w:r>
              <w:t xml:space="preserve">S. Ladung 0.64.</w:t>
            </w:r>
          </w:p>
        </w:tc>
        <w:tc>
          <w:tcPr>
            <w:tcW w:w="720" w:type="dxa"/>
          </w:tcPr>
          <w:p>
            <w:pPr/>
            <w:r>
              <w:t xml:space="preserve">–</w:t>
            </w:r>
          </w:p>
        </w:tc>
      </w:tr>
      <w:tr>
        <w:tc>
          <w:tcPr>
            <w:tcW w:w="1380" w:type="dxa"/>
          </w:tcPr>
          <w:p>
            <w:pPr/>
            <w:r>
              <w:t xml:space="preserve">S2-ATAI05</w:t>
            </w:r>
          </w:p>
        </w:tc>
        <w:tc>
          <w:tcPr>
            <w:tcW w:w="1423" w:type="dxa"/>
          </w:tcPr>
          <w:p>
            <w:pPr/>
            <w:r>
              <w:t xml:space="preserve">Fear</w:t>
            </w:r>
          </w:p>
        </w:tc>
        <w:tc>
          <w:tcPr>
            <w:tcW w:w="1828" w:type="dxa"/>
          </w:tcPr>
          <w:p>
            <w:pPr/>
            <w:r>
              <w:t xml:space="preserve">Künstliche Intelligenz wird für viel Arbeitslosigkeit sorgen. (S. 112)</w:t>
            </w:r>
          </w:p>
        </w:tc>
        <w:tc>
          <w:tcPr>
            <w:tcW w:w="1438" w:type="dxa"/>
          </w:tcPr>
          <w:p>
            <w:pPr/>
            <w:r>
              <w:t xml:space="preserve">unverändert</w:t>
            </w:r>
          </w:p>
        </w:tc>
        <w:tc>
          <w:tcPr>
            <w:tcW w:w="2571" w:type="dxa"/>
          </w:tcPr>
          <w:p>
            <w:pPr/>
            <w:r>
              <w:t xml:space="preserve">S. Ladung 0.42 (S. 113). Beibehaltung belegt: „In other samples that include more employed people being at a risk of losing their jobs due to AI progress, the fifth item might load more strongly on the ATAI Fear factor.“ (S. 116).</w:t>
            </w:r>
          </w:p>
        </w:tc>
        <w:tc>
          <w:tcPr>
            <w:tcW w:w="720" w:type="dxa"/>
          </w:tcPr>
          <w:p>
            <w:pPr/>
            <w:r>
              <w:t xml:space="preserve">–</w:t>
            </w:r>
          </w:p>
        </w:tc>
      </w:tr>
    </w:tbl>
    <w:p>
      <w:pPr/>
      <w:r>
        <w:t xml:space="preserve">Zu Skala und Begriffen in D3: Die Originalskala 0–10 bleibt, weil sie inhaltlich begründet ist (S. 112). Der Hinweis „should check if other forms of Likert scaling are more appropriate“ ist kein Umstellungsgrund. „vertraue“ kommt in keinem anderen Item vor; P4 ist nicht enthalten, vgl. S2 S. 113 zur Wortüberschneidung bei „trust“.</w:t>
      </w:r>
    </w:p>
    <w:p>
      <w:pPr>
        <w:pStyle w:val="Heading3"/>
      </w:pPr>
      <w:r>
        <w:t xml:space="preserve">D4 – Filter (TC, unverändert, Originalformat)</w:t>
      </w:r>
    </w:p>
    <w:p>
      <w:pPr/>
      <w:r>
        <w:t xml:space="preserve">Antwortformat: Nie / Jährlich / Halbjährlich / Monatlich / Wöchentlich / Täglich (1–6). Die Labels sind übersetzt (Ü): D1 enthält nur EN-Labels. Der Itemwortlaut ist für alle 24 Items unverändert aus D1-F3 (DE).</w:t>
      </w:r>
    </w:p>
    <w:tbl>
      <w:tblPr>
        <w:tblStyle w:val="TableGrid"/>
        <w:tblW w:w="0" w:type="auto"/>
        <w:tblLayout w:type="fixed"/>
        <w:tblLook w:val="04A0" w:firstRow="1" w:lastRow="0" w:firstColumn="0" w:lastColumn="0" w:noHBand="0" w:noVBand="1"/>
      </w:tblPr>
      <w:tblGrid>
        <w:gridCol w:w="3181"/>
        <w:gridCol w:w="6178"/>
      </w:tblGrid>
      <w:tr>
        <w:trPr>
          <w:tblHeader/>
        </w:trPr>
        <w:tc>
          <w:tcPr>
            <w:tcW w:w="3181" w:type="dxa"/>
            <w:shd w:val="clear" w:color="auto" w:fill="F2F2F2"/>
          </w:tcPr>
          <w:p>
            <w:pPr/>
            <w:r>
              <w:t xml:space="preserve">Item-ID</w:t>
            </w:r>
          </w:p>
        </w:tc>
        <w:tc>
          <w:tcPr>
            <w:tcW w:w="6178" w:type="dxa"/>
            <w:shd w:val="clear" w:color="auto" w:fill="F2F2F2"/>
          </w:tcPr>
          <w:p>
            <w:pPr/>
            <w:r>
              <w:t xml:space="preserve">Originalitem DE (D1-F3, Abschnitt TC)</w:t>
            </w:r>
          </w:p>
        </w:tc>
      </w:tr>
      <w:tr>
        <w:tc>
          <w:tcPr>
            <w:tcW w:w="3181" w:type="dxa"/>
          </w:tcPr>
          <w:p>
            <w:pPr/>
            <w:r>
              <w:t xml:space="preserve">D1-F3-TC-PLA-1/2/3</w:t>
            </w:r>
          </w:p>
        </w:tc>
        <w:tc>
          <w:tcPr>
            <w:tcW w:w="6178" w:type="dxa"/>
          </w:tcPr>
          <w:p>
            <w:pPr/>
            <w:r>
              <w:t xml:space="preserve">Ich arbeite an Aufgaben, die eine strukturierte Planung von Abläufen erfordern. / … bei denen ich im Voraus Schritte festlege, um reibungslose Abläufe zu ermöglichen. / … bei denen ich im Voraus Aktivitäten zwischen mehreren Beteiligten koordiniere.</w:t>
            </w:r>
          </w:p>
        </w:tc>
      </w:tr>
      <w:tr>
        <w:tc>
          <w:tcPr>
            <w:tcW w:w="3181" w:type="dxa"/>
          </w:tcPr>
          <w:p>
            <w:pPr/>
            <w:r>
              <w:t xml:space="preserve">D1-F3-TC-KRE-1/2/3</w:t>
            </w:r>
          </w:p>
        </w:tc>
        <w:tc>
          <w:tcPr>
            <w:tcW w:w="6178" w:type="dxa"/>
          </w:tcPr>
          <w:p>
            <w:pPr/>
            <w:r>
              <w:t xml:space="preserve">… bei denen ich neue Ideen für bestehende oder neue Anforderungen entwickle. / … bei denen kreative Denkprozesse erforderlich sind. / … bei denen ich viele unterschiedliche Lösungsideen entwickle, ohne sie sofort zu bewerten.</w:t>
            </w:r>
          </w:p>
        </w:tc>
      </w:tr>
      <w:tr>
        <w:tc>
          <w:tcPr>
            <w:tcW w:w="3181" w:type="dxa"/>
          </w:tcPr>
          <w:p>
            <w:pPr/>
            <w:r>
              <w:t xml:space="preserve">D1-F3-TC-INT-1/2/3</w:t>
            </w:r>
          </w:p>
        </w:tc>
        <w:tc>
          <w:tcPr>
            <w:tcW w:w="6178" w:type="dxa"/>
          </w:tcPr>
          <w:p>
            <w:pPr/>
            <w:r>
              <w:t xml:space="preserve">Ich arbeite an Aufgaben, die eine eindeutig richtige Lösung erfordern. / … bei denen korrekte Lösungen durch Fakten oder Logik eindeutig bestimmbar sind. / … deren Ergebnisse objektiv überprüft werden können.</w:t>
            </w:r>
          </w:p>
        </w:tc>
      </w:tr>
      <w:tr>
        <w:tc>
          <w:tcPr>
            <w:tcW w:w="3181" w:type="dxa"/>
          </w:tcPr>
          <w:p>
            <w:pPr/>
            <w:r>
              <w:t xml:space="preserve">D1-F3-TC-URT-1/2/3</w:t>
            </w:r>
          </w:p>
        </w:tc>
        <w:tc>
          <w:tcPr>
            <w:tcW w:w="6178" w:type="dxa"/>
          </w:tcPr>
          <w:p>
            <w:pPr/>
            <w:r>
              <w:t xml:space="preserve">… bei denen Entscheidungen ohne eindeutig richtige Antwort getroffen werden müssen. / … bei denen verschiedene Optionen jeweils Vor- und Nachteile haben. / … bei denen Entscheidungen auf Basis subjektiver Abwägungen getroffen werden müssen.</w:t>
            </w:r>
          </w:p>
        </w:tc>
      </w:tr>
      <w:tr>
        <w:tc>
          <w:tcPr>
            <w:tcW w:w="3181" w:type="dxa"/>
          </w:tcPr>
          <w:p>
            <w:pPr/>
            <w:r>
              <w:t xml:space="preserve">D1-F3-TC-KOG-1/2/3</w:t>
            </w:r>
          </w:p>
        </w:tc>
        <w:tc>
          <w:tcPr>
            <w:tcW w:w="6178" w:type="dxa"/>
          </w:tcPr>
          <w:p>
            <w:pPr/>
            <w:r>
              <w:t xml:space="preserve">… bei denen unterschiedliche fachliche Standpunkte diskutiert werden müssen. / … bei denen inhaltliche Meinungsverschiedenheiten zwischen Beteiligten ausgeräumt werden sollen. / … bei denen durch Diskussion eine gemeinsame Sichtweise entstehen soll.</w:t>
            </w:r>
          </w:p>
        </w:tc>
      </w:tr>
      <w:tr>
        <w:tc>
          <w:tcPr>
            <w:tcW w:w="3181" w:type="dxa"/>
          </w:tcPr>
          <w:p>
            <w:pPr/>
            <w:r>
              <w:t xml:space="preserve">D1-F3-TC-MIX-1/2/3</w:t>
            </w:r>
          </w:p>
        </w:tc>
        <w:tc>
          <w:tcPr>
            <w:tcW w:w="6178" w:type="dxa"/>
          </w:tcPr>
          <w:p>
            <w:pPr/>
            <w:r>
              <w:t xml:space="preserve">… bei denen gegensätzliche Interessen zwischen Beteiligten ausgeglichen werden müssen. / … bei denen ich Zielkonflikte durch Kompromisse lösen muss. / … bei denen über die Verteilung begrenzter Ressourcen verhandelt werden muss.</w:t>
            </w:r>
          </w:p>
        </w:tc>
      </w:tr>
      <w:tr>
        <w:tc>
          <w:tcPr>
            <w:tcW w:w="3181" w:type="dxa"/>
          </w:tcPr>
          <w:p>
            <w:pPr/>
            <w:r>
              <w:t xml:space="preserve">D1-F3-TC-WET-1/2/3</w:t>
            </w:r>
          </w:p>
        </w:tc>
        <w:tc>
          <w:tcPr>
            <w:tcW w:w="6178" w:type="dxa"/>
          </w:tcPr>
          <w:p>
            <w:pPr/>
            <w:r>
              <w:t xml:space="preserve">… bei denen es einen direkten Leistungsvergleich gibt. / … deren Ergebnisse im direkten Vergleich mit anderen bewertet werden. / … bei denen das Ziel ist, andere zu übertreffen.</w:t>
            </w:r>
          </w:p>
        </w:tc>
      </w:tr>
      <w:tr>
        <w:tc>
          <w:tcPr>
            <w:tcW w:w="3181" w:type="dxa"/>
          </w:tcPr>
          <w:p>
            <w:pPr/>
            <w:r>
              <w:t xml:space="preserve">D1-F3-TC-AUS-1/2/3</w:t>
            </w:r>
          </w:p>
        </w:tc>
        <w:tc>
          <w:tcPr>
            <w:tcW w:w="6178" w:type="dxa"/>
          </w:tcPr>
          <w:p>
            <w:pPr/>
            <w:r>
              <w:t xml:space="preserve">… bei denen klar definierte Abläufe eingehalten werden müssen. / … bei denen standardisierte Tätigkeiten umgesetzt werden sollen. / Ich arbeite an Aufgaben, die vordefinierten Abläufen folgen.</w:t>
            </w:r>
          </w:p>
        </w:tc>
      </w:tr>
    </w:tbl>
    <w:p>
      <w:pPr>
        <w:pStyle w:val="Heading3"/>
      </w:pPr>
      <w:r>
        <w:t xml:space="preserve">D4 – TTF (Copilot)</w:t>
      </w:r>
    </w:p>
    <w:p>
      <w:pPr/>
      <w:r>
        <w:rPr>
          <w:b/>
        </w:rPr>
        <w:t xml:space="preserve">Itemstamm:</w:t>
      </w:r>
      <w:r>
        <w:t xml:space="preserve"> „Ich denke, dass Copilot meine Aufgaben unterstützen kann, …“</w:t>
      </w:r>
    </w:p>
    <w:p>
      <w:pPr/>
      <w:r>
        <w:rPr>
          <w:b/>
        </w:rPr>
        <w:t xml:space="preserve">Adaption bei allen 24 Items:</w:t>
      </w:r>
    </w:p>
    <w:p>
      <w:pPr>
        <w:pStyle w:val="ListParagraph"/>
        <w:numPr>
          <w:ilvl w:val="0"/>
          <w:numId w:val="21"/>
        </w:numPr>
      </w:pPr>
      <w:r>
        <w:rPr>
          <w:b/>
        </w:rPr>
        <w:t xml:space="preserve">K (Technologiename):</w:t>
      </w:r>
      <w:r>
        <w:t xml:space="preserve"> „Virtual Reality“ → „Copilot“.</w:t>
      </w:r>
    </w:p>
    <w:p>
      <w:pPr>
        <w:pStyle w:val="ListParagraph"/>
        <w:numPr>
          <w:ilvl w:val="0"/>
          <w:numId w:val="21"/>
        </w:numPr>
      </w:pPr>
      <w:r>
        <w:rPr>
          <w:b/>
        </w:rPr>
        <w:t xml:space="preserve">Modus:</w:t>
      </w:r>
      <w:r>
        <w:t xml:space="preserve"> Die DE-Items bleiben im Indikativ („kann“). Das Item ist eine Fähigkeitseinschätzung der Technologie und setzt keine Nutzung voraus.</w:t>
      </w:r>
    </w:p>
    <w:p>
      <w:pPr>
        <w:pStyle w:val="ListParagraph"/>
        <w:numPr>
          <w:ilvl w:val="0"/>
          <w:numId w:val="21"/>
        </w:numPr>
      </w:pPr>
      <w:r>
        <w:rPr>
          <w:b/>
        </w:rPr>
        <w:t xml:space="preserve">Blockfragen:</w:t>
      </w:r>
      <w:r>
        <w:t xml:space="preserve"> Die Fragen „Wie gut könnte …?“ werden als Überschriften gesetzt (z. B. „Planungsaufgaben“). Grund: Sie passen nicht zur Zustimmungsskala, und so bleibt der Modus im Block einheitlich (K).</w:t>
      </w:r>
    </w:p>
    <w:p>
      <w:pPr>
        <w:pStyle w:val="ListParagraph"/>
        <w:numPr>
          <w:ilvl w:val="0"/>
          <w:numId w:val="21"/>
        </w:numPr>
      </w:pPr>
      <w:r>
        <w:rPr>
          <w:b/>
        </w:rPr>
        <w:t xml:space="preserve">Instruktion:</w:t>
      </w:r>
      <w:r>
        <w:t xml:space="preserve"> „könnte“ → „kann“ (K).</w:t>
      </w:r>
    </w:p>
    <w:p>
      <w:pPr>
        <w:pStyle w:val="ListParagraph"/>
        <w:numPr>
          <w:ilvl w:val="0"/>
          <w:numId w:val="21"/>
        </w:numPr>
      </w:pPr>
      <w:r>
        <w:rPr>
          <w:b/>
        </w:rPr>
        <w:t xml:space="preserve">Polung:</w:t>
      </w:r>
      <w:r>
        <w:t xml:space="preserve"> Alle Items sind gleich gepolt. Begründung: Einzelindikator, als Skala nicht validiert. Pretest-Prüfpunkt: Zustimmungstendenz.</w:t>
      </w:r>
    </w:p>
    <w:tbl>
      <w:tblPr>
        <w:tblStyle w:val="TableGrid"/>
        <w:tblW w:w="0" w:type="auto"/>
        <w:tblLayout w:type="fixed"/>
        <w:tblLook w:val="04A0" w:firstRow="1" w:lastRow="0" w:firstColumn="0" w:lastColumn="0" w:noHBand="0" w:noVBand="1"/>
      </w:tblPr>
      <w:tblGrid>
        <w:gridCol w:w="2216"/>
        <w:gridCol w:w="3688"/>
        <w:gridCol w:w="1662"/>
        <w:gridCol w:w="1794"/>
      </w:tblGrid>
      <w:tr>
        <w:trPr>
          <w:tblHeader/>
        </w:trPr>
        <w:tc>
          <w:tcPr>
            <w:tcW w:w="2216" w:type="dxa"/>
            <w:shd w:val="clear" w:color="auto" w:fill="F2F2F2"/>
          </w:tcPr>
          <w:p>
            <w:pPr/>
            <w:r>
              <w:t xml:space="preserve">Item-ID</w:t>
            </w:r>
          </w:p>
        </w:tc>
        <w:tc>
          <w:tcPr>
            <w:tcW w:w="3688" w:type="dxa"/>
            <w:shd w:val="clear" w:color="auto" w:fill="F2F2F2"/>
          </w:tcPr>
          <w:p>
            <w:pPr/>
            <w:r>
              <w:t xml:space="preserve">Originalitem DE (D1-F3, Abschnitt TTF)</w:t>
            </w:r>
          </w:p>
        </w:tc>
        <w:tc>
          <w:tcPr>
            <w:tcW w:w="1662" w:type="dxa"/>
            <w:shd w:val="clear" w:color="auto" w:fill="F2F2F2"/>
          </w:tcPr>
          <w:p>
            <w:pPr/>
            <w:r>
              <w:t xml:space="preserve">finales Item (Ende des Itemstamms)</w:t>
            </w:r>
          </w:p>
        </w:tc>
        <w:tc>
          <w:tcPr>
            <w:tcW w:w="1794" w:type="dxa"/>
            <w:shd w:val="clear" w:color="auto" w:fill="F2F2F2"/>
          </w:tcPr>
          <w:p>
            <w:pPr/>
            <w:r>
              <w:t xml:space="preserve">zusätzliche Adaption</w:t>
            </w:r>
          </w:p>
        </w:tc>
      </w:tr>
      <w:tr>
        <w:tc>
          <w:tcPr>
            <w:tcW w:w="2216" w:type="dxa"/>
          </w:tcPr>
          <w:p>
            <w:pPr/>
            <w:r>
              <w:t xml:space="preserve">…-TTF-PLA-1/2/3</w:t>
            </w:r>
          </w:p>
        </w:tc>
        <w:tc>
          <w:tcPr>
            <w:tcW w:w="3688" w:type="dxa"/>
          </w:tcPr>
          <w:p>
            <w:pPr/>
            <w:r>
              <w:t xml:space="preserve">Ich denke, dass Virtual Reality meine Aufgaben unterstützen kann, die eine strukturierte Planung von Abläufen erfordern. / … bei denen ich im Voraus Schritte festlege, um reibungslose Abläufe zu ermöglichen. / … bei denen ich im Voraus Aktivitäten zwischen mehreren Beteiligten koordiniere.</w:t>
            </w:r>
          </w:p>
        </w:tc>
        <w:tc>
          <w:tcPr>
            <w:tcW w:w="1662" w:type="dxa"/>
          </w:tcPr>
          <w:p>
            <w:pPr/>
            <w:r>
              <w:t xml:space="preserve">… die eine strukturierte Planung von Abläufen erfordern. / … bei denen ich im Voraus Schritte festlege, um reibungslose Abläufe zu ermöglichen. / … bei denen ich im Voraus Aktivitäten zwischen mehreren Beteiligten koordiniere.</w:t>
            </w:r>
          </w:p>
        </w:tc>
        <w:tc>
          <w:tcPr>
            <w:tcW w:w="1794" w:type="dxa"/>
          </w:tcPr>
          <w:p>
            <w:pPr/>
            <w:r>
              <w:t xml:space="preserve">–</w:t>
            </w:r>
          </w:p>
        </w:tc>
      </w:tr>
      <w:tr>
        <w:tc>
          <w:tcPr>
            <w:tcW w:w="2216" w:type="dxa"/>
          </w:tcPr>
          <w:p>
            <w:pPr/>
            <w:r>
              <w:t xml:space="preserve">…-TTF-KRE-1/2/3</w:t>
            </w:r>
          </w:p>
        </w:tc>
        <w:tc>
          <w:tcPr>
            <w:tcW w:w="3688" w:type="dxa"/>
          </w:tcPr>
          <w:p>
            <w:pPr/>
            <w:r>
              <w:t xml:space="preserve">… bei denen ich neue Ideen für bestehende oder neue Anforderungen entwickle. / … bei denen kreative Denkprozesse erforderlich sind. / … bei denen ich viele unterschiedliche Lösungsideen entwickle, ohne sie sofort zu bewerten.</w:t>
            </w:r>
          </w:p>
        </w:tc>
        <w:tc>
          <w:tcPr>
            <w:tcW w:w="1662" w:type="dxa"/>
          </w:tcPr>
          <w:p>
            <w:pPr/>
            <w:r>
              <w:t xml:space="preserve">wie Original</w:t>
            </w:r>
          </w:p>
        </w:tc>
        <w:tc>
          <w:tcPr>
            <w:tcW w:w="1794" w:type="dxa"/>
          </w:tcPr>
          <w:p>
            <w:pPr/>
            <w:r>
              <w:t xml:space="preserve">–</w:t>
            </w:r>
          </w:p>
        </w:tc>
      </w:tr>
      <w:tr>
        <w:tc>
          <w:tcPr>
            <w:tcW w:w="2216" w:type="dxa"/>
          </w:tcPr>
          <w:p>
            <w:pPr/>
            <w:r>
              <w:t xml:space="preserve">…-TTF-INT-1/2/3</w:t>
            </w:r>
          </w:p>
        </w:tc>
        <w:tc>
          <w:tcPr>
            <w:tcW w:w="3688" w:type="dxa"/>
          </w:tcPr>
          <w:p>
            <w:pPr/>
            <w:r>
              <w:t xml:space="preserve">… die eine eindeutig richtige Lösung erfordern. / … bei denen korrekte Lösungen durch Fakten oder Logik eindeutig bestimmbar sind. / … deren Ergebnisse objektiv überprüft werden können.</w:t>
            </w:r>
          </w:p>
        </w:tc>
        <w:tc>
          <w:tcPr>
            <w:tcW w:w="1662" w:type="dxa"/>
          </w:tcPr>
          <w:p>
            <w:pPr/>
            <w:r>
              <w:t xml:space="preserve">wie Original</w:t>
            </w:r>
          </w:p>
        </w:tc>
        <w:tc>
          <w:tcPr>
            <w:tcW w:w="1794" w:type="dxa"/>
          </w:tcPr>
          <w:p>
            <w:pPr/>
            <w:r>
              <w:t xml:space="preserve">–</w:t>
            </w:r>
          </w:p>
        </w:tc>
      </w:tr>
      <w:tr>
        <w:tc>
          <w:tcPr>
            <w:tcW w:w="2216" w:type="dxa"/>
          </w:tcPr>
          <w:p>
            <w:pPr/>
            <w:r>
              <w:t xml:space="preserve">…-TTF-URT-1/2/3</w:t>
            </w:r>
          </w:p>
        </w:tc>
        <w:tc>
          <w:tcPr>
            <w:tcW w:w="3688" w:type="dxa"/>
          </w:tcPr>
          <w:p>
            <w:pPr/>
            <w:r>
              <w:t xml:space="preserve">… bei denen Entscheidungen ohne eindeutig richtige Antwort getroffen werden müssen. / … bei denen verschiedene Optionen jeweils Vor- und Nachteile haben. / … bei denen Entscheidungen auf Basis subjektiver Abwägungen getroffen werden müssen.</w:t>
            </w:r>
          </w:p>
        </w:tc>
        <w:tc>
          <w:tcPr>
            <w:tcW w:w="1662" w:type="dxa"/>
          </w:tcPr>
          <w:p>
            <w:pPr/>
            <w:r>
              <w:t xml:space="preserve">wie Original</w:t>
            </w:r>
          </w:p>
        </w:tc>
        <w:tc>
          <w:tcPr>
            <w:tcW w:w="1794" w:type="dxa"/>
          </w:tcPr>
          <w:p>
            <w:pPr/>
            <w:r>
              <w:t xml:space="preserve">–</w:t>
            </w:r>
          </w:p>
        </w:tc>
      </w:tr>
      <w:tr>
        <w:tc>
          <w:tcPr>
            <w:tcW w:w="2216" w:type="dxa"/>
          </w:tcPr>
          <w:p>
            <w:pPr/>
            <w:r>
              <w:t xml:space="preserve">…-TTF-KOG-1/2/3</w:t>
            </w:r>
          </w:p>
        </w:tc>
        <w:tc>
          <w:tcPr>
            <w:tcW w:w="3688" w:type="dxa"/>
          </w:tcPr>
          <w:p>
            <w:pPr/>
            <w:r>
              <w:t xml:space="preserve">… bei denen unterschiedliche fachliche Standpunkte diskutiert werden müssen. / … bei denen inhaltliche Meinungsverschiedenheiten zwischen Beteiligten ausgeräumt werden sollen. / … bei denen durch Diskussion eine gemeinsame Sichtweise entstehen soll.</w:t>
            </w:r>
          </w:p>
        </w:tc>
        <w:tc>
          <w:tcPr>
            <w:tcW w:w="1662" w:type="dxa"/>
          </w:tcPr>
          <w:p>
            <w:pPr/>
            <w:r>
              <w:t xml:space="preserve">wie Original</w:t>
            </w:r>
          </w:p>
        </w:tc>
        <w:tc>
          <w:tcPr>
            <w:tcW w:w="1794" w:type="dxa"/>
          </w:tcPr>
          <w:p>
            <w:pPr/>
            <w:r>
              <w:t xml:space="preserve">–</w:t>
            </w:r>
          </w:p>
        </w:tc>
      </w:tr>
      <w:tr>
        <w:tc>
          <w:tcPr>
            <w:tcW w:w="2216" w:type="dxa"/>
          </w:tcPr>
          <w:p>
            <w:pPr/>
            <w:r>
              <w:t xml:space="preserve">…-TTF-MIX-1/2</w:t>
            </w:r>
          </w:p>
        </w:tc>
        <w:tc>
          <w:tcPr>
            <w:tcW w:w="3688" w:type="dxa"/>
          </w:tcPr>
          <w:p>
            <w:pPr/>
            <w:r>
              <w:t xml:space="preserve">… bei denen gegensätzliche Interessen zwischen Beteiligten ausgeglichen werden müssen. / … bei denen ich Zielkonflikte durch Kompromisse lösen muss.</w:t>
            </w:r>
          </w:p>
        </w:tc>
        <w:tc>
          <w:tcPr>
            <w:tcW w:w="1662" w:type="dxa"/>
          </w:tcPr>
          <w:p>
            <w:pPr/>
            <w:r>
              <w:t xml:space="preserve">wie Original</w:t>
            </w:r>
          </w:p>
        </w:tc>
        <w:tc>
          <w:tcPr>
            <w:tcW w:w="1794" w:type="dxa"/>
          </w:tcPr>
          <w:p>
            <w:pPr/>
            <w:r>
              <w:t xml:space="preserve">–</w:t>
            </w:r>
          </w:p>
        </w:tc>
      </w:tr>
      <w:tr>
        <w:tc>
          <w:tcPr>
            <w:tcW w:w="2216" w:type="dxa"/>
          </w:tcPr>
          <w:p>
            <w:pPr/>
            <w:r>
              <w:t xml:space="preserve">…-TTF-MIX-3</w:t>
            </w:r>
          </w:p>
        </w:tc>
        <w:tc>
          <w:tcPr>
            <w:tcW w:w="3688" w:type="dxa"/>
          </w:tcPr>
          <w:p>
            <w:pPr/>
            <w:r>
              <w:t xml:space="preserve">… bei denen ich gemeinsam mit anderen Lösungen aushandeln muss.</w:t>
            </w:r>
          </w:p>
        </w:tc>
        <w:tc>
          <w:tcPr>
            <w:tcW w:w="1662" w:type="dxa"/>
          </w:tcPr>
          <w:p>
            <w:pPr/>
            <w:r>
              <w:t xml:space="preserve">wie Original</w:t>
            </w:r>
          </w:p>
        </w:tc>
        <w:tc>
          <w:tcPr>
            <w:tcW w:w="1794" w:type="dxa"/>
          </w:tcPr>
          <w:p>
            <w:pPr/>
            <w:r>
              <w:t xml:space="preserve">⚠ Abweichung zum Filteritem TC-MIX-3 („Verteilung begrenzter Ressourcen“). Das Fit-Original bleibt [eigene Bewertung]: Es ist kein bloßer Verstärker, und eine inhaltliche Änderung wäre I ohne Beleg. Pretest: Passung zwischen Filter- und Fit-Item.</w:t>
            </w:r>
          </w:p>
        </w:tc>
      </w:tr>
      <w:tr>
        <w:tc>
          <w:tcPr>
            <w:tcW w:w="2216" w:type="dxa"/>
          </w:tcPr>
          <w:p>
            <w:pPr/>
            <w:r>
              <w:t xml:space="preserve">…-TTF-WET-1/2/3</w:t>
            </w:r>
          </w:p>
        </w:tc>
        <w:tc>
          <w:tcPr>
            <w:tcW w:w="3688" w:type="dxa"/>
          </w:tcPr>
          <w:p>
            <w:pPr/>
            <w:r>
              <w:t xml:space="preserve">… bei denen es einen direkten Leistungsvergleich gibt. / … deren Ergebnisse im direkten Vergleich mit anderen bewertet werden. / … bei denen das Ziel ist, andere zu übertreffen.</w:t>
            </w:r>
          </w:p>
        </w:tc>
        <w:tc>
          <w:tcPr>
            <w:tcW w:w="1662" w:type="dxa"/>
          </w:tcPr>
          <w:p>
            <w:pPr/>
            <w:r>
              <w:t xml:space="preserve">wie Original</w:t>
            </w:r>
          </w:p>
        </w:tc>
        <w:tc>
          <w:tcPr>
            <w:tcW w:w="1794" w:type="dxa"/>
          </w:tcPr>
          <w:p>
            <w:pPr/>
            <w:r>
              <w:t xml:space="preserve">–</w:t>
            </w:r>
          </w:p>
        </w:tc>
      </w:tr>
      <w:tr>
        <w:tc>
          <w:tcPr>
            <w:tcW w:w="2216" w:type="dxa"/>
          </w:tcPr>
          <w:p>
            <w:pPr/>
            <w:r>
              <w:t xml:space="preserve">…-TTF-AUS-1/2</w:t>
            </w:r>
          </w:p>
        </w:tc>
        <w:tc>
          <w:tcPr>
            <w:tcW w:w="3688" w:type="dxa"/>
          </w:tcPr>
          <w:p>
            <w:pPr/>
            <w:r>
              <w:t xml:space="preserve">… bei denen klar definierte Abläufe eingehalten werden müssen. / … bei denen standardisierte Tätigkeiten umgesetzt werden sollen.</w:t>
            </w:r>
          </w:p>
        </w:tc>
        <w:tc>
          <w:tcPr>
            <w:tcW w:w="1662" w:type="dxa"/>
          </w:tcPr>
          <w:p>
            <w:pPr/>
            <w:r>
              <w:t xml:space="preserve">wie Original</w:t>
            </w:r>
          </w:p>
        </w:tc>
        <w:tc>
          <w:tcPr>
            <w:tcW w:w="1794" w:type="dxa"/>
          </w:tcPr>
          <w:p>
            <w:pPr/>
            <w:r>
              <w:t xml:space="preserve">–</w:t>
            </w:r>
          </w:p>
        </w:tc>
      </w:tr>
      <w:tr>
        <w:tc>
          <w:tcPr>
            <w:tcW w:w="2216" w:type="dxa"/>
          </w:tcPr>
          <w:p>
            <w:pPr/>
            <w:r>
              <w:t xml:space="preserve">…-TTF-AUS-3</w:t>
            </w:r>
          </w:p>
        </w:tc>
        <w:tc>
          <w:tcPr>
            <w:tcW w:w="3688" w:type="dxa"/>
          </w:tcPr>
          <w:p>
            <w:pPr/>
            <w:r>
              <w:t xml:space="preserve">… bei denen strikt vordefinierten Abläufen gefolgt werden muss.</w:t>
            </w:r>
          </w:p>
        </w:tc>
        <w:tc>
          <w:tcPr>
            <w:tcW w:w="1662" w:type="dxa"/>
          </w:tcPr>
          <w:p>
            <w:pPr/>
            <w:r>
              <w:t xml:space="preserve">… bei denen vordefinierten Abläufen gefolgt werden muss.</w:t>
            </w:r>
          </w:p>
        </w:tc>
        <w:tc>
          <w:tcPr>
            <w:tcW w:w="1794" w:type="dxa"/>
          </w:tcPr>
          <w:p>
            <w:pPr/>
            <w:r>
              <w:t xml:space="preserve">I: „strikt“ gestrichen. Beleg Parallelitem: TC-AUS-3 „die vordefinierten Abläufen folgen.“ (D1-F3). Keine Itemkennwerte (C4).</w:t>
            </w:r>
          </w:p>
        </w:tc>
      </w:tr>
    </w:tbl>
    <w:p>
      <w:pPr>
        <w:pStyle w:val="Heading3"/>
      </w:pPr>
      <w:r>
        <w:t xml:space="preserve">D4 – BI und PERF</w:t>
      </w:r>
    </w:p>
    <w:tbl>
      <w:tblPr>
        <w:tblStyle w:val="TableGrid"/>
        <w:tblW w:w="0" w:type="auto"/>
        <w:tblLayout w:type="fixed"/>
        <w:tblLook w:val="04A0" w:firstRow="1" w:lastRow="0" w:firstColumn="0" w:lastColumn="0" w:noHBand="0" w:noVBand="1"/>
      </w:tblPr>
      <w:tblGrid>
        <w:gridCol w:w="945"/>
        <w:gridCol w:w="1225"/>
        <w:gridCol w:w="2564"/>
        <w:gridCol w:w="2346"/>
        <w:gridCol w:w="1560"/>
        <w:gridCol w:w="720"/>
      </w:tblGrid>
      <w:tr>
        <w:trPr>
          <w:tblHeader/>
        </w:trPr>
        <w:tc>
          <w:tcPr>
            <w:tcW w:w="945" w:type="dxa"/>
            <w:shd w:val="clear" w:color="auto" w:fill="F2F2F2"/>
          </w:tcPr>
          <w:p>
            <w:pPr/>
            <w:r>
              <w:t xml:space="preserve">Item-ID</w:t>
            </w:r>
          </w:p>
        </w:tc>
        <w:tc>
          <w:tcPr>
            <w:tcW w:w="1225" w:type="dxa"/>
            <w:shd w:val="clear" w:color="auto" w:fill="F2F2F2"/>
          </w:tcPr>
          <w:p>
            <w:pPr/>
            <w:r>
              <w:t xml:space="preserve">Konstrukt</w:t>
            </w:r>
          </w:p>
        </w:tc>
        <w:tc>
          <w:tcPr>
            <w:tcW w:w="2564" w:type="dxa"/>
            <w:shd w:val="clear" w:color="auto" w:fill="F2F2F2"/>
          </w:tcPr>
          <w:p>
            <w:pPr/>
            <w:r>
              <w:t xml:space="preserve">Originalitem (D1-F3)</w:t>
            </w:r>
          </w:p>
        </w:tc>
        <w:tc>
          <w:tcPr>
            <w:tcW w:w="2346" w:type="dxa"/>
            <w:shd w:val="clear" w:color="auto" w:fill="F2F2F2"/>
          </w:tcPr>
          <w:p>
            <w:pPr/>
            <w:r>
              <w:t xml:space="preserve">finales Item</w:t>
            </w:r>
          </w:p>
        </w:tc>
        <w:tc>
          <w:tcPr>
            <w:tcW w:w="1560" w:type="dxa"/>
            <w:shd w:val="clear" w:color="auto" w:fill="F2F2F2"/>
          </w:tcPr>
          <w:p>
            <w:pPr/>
            <w:r>
              <w:t xml:space="preserve">Adaption</w:t>
            </w:r>
          </w:p>
        </w:tc>
        <w:tc>
          <w:tcPr>
            <w:tcW w:w="720" w:type="dxa"/>
            <w:shd w:val="clear" w:color="auto" w:fill="F2F2F2"/>
          </w:tcPr>
          <w:p>
            <w:pPr/>
            <w:r>
              <w:t xml:space="preserve">(R)</w:t>
            </w:r>
          </w:p>
        </w:tc>
      </w:tr>
      <w:tr>
        <w:tc>
          <w:tcPr>
            <w:tcW w:w="945" w:type="dxa"/>
          </w:tcPr>
          <w:p>
            <w:pPr/>
            <w:r>
              <w:t xml:space="preserve">D1-F3-BI-1</w:t>
            </w:r>
          </w:p>
        </w:tc>
        <w:tc>
          <w:tcPr>
            <w:tcW w:w="1225" w:type="dxa"/>
          </w:tcPr>
          <w:p>
            <w:pPr/>
            <w:r>
              <w:t xml:space="preserve">BI</w:t>
            </w:r>
          </w:p>
        </w:tc>
        <w:tc>
          <w:tcPr>
            <w:tcW w:w="2564" w:type="dxa"/>
          </w:tcPr>
          <w:p>
            <w:pPr/>
            <w:r>
              <w:t xml:space="preserve">Ich beabsichtige, Virtual Reality künftig für meine Aufgaben einzusetzen.</w:t>
            </w:r>
          </w:p>
        </w:tc>
        <w:tc>
          <w:tcPr>
            <w:tcW w:w="2346" w:type="dxa"/>
          </w:tcPr>
          <w:p>
            <w:pPr/>
            <w:r>
              <w:t xml:space="preserve">Ich beabsichtige, Copilot künftig für meine Aufgaben einzusetzen.</w:t>
            </w:r>
          </w:p>
        </w:tc>
        <w:tc>
          <w:tcPr>
            <w:tcW w:w="1560" w:type="dxa"/>
          </w:tcPr>
          <w:p>
            <w:pPr/>
            <w:r>
              <w:t xml:space="preserve">K (Name); Absicht im Indikativ</w:t>
            </w:r>
          </w:p>
        </w:tc>
        <w:tc>
          <w:tcPr>
            <w:tcW w:w="720" w:type="dxa"/>
          </w:tcPr>
          <w:p>
            <w:pPr/>
            <w:r>
              <w:t xml:space="preserve">–</w:t>
            </w:r>
          </w:p>
        </w:tc>
      </w:tr>
      <w:tr>
        <w:tc>
          <w:tcPr>
            <w:tcW w:w="945" w:type="dxa"/>
          </w:tcPr>
          <w:p>
            <w:pPr/>
            <w:r>
              <w:t xml:space="preserve">D1-F3-BI-2</w:t>
            </w:r>
          </w:p>
        </w:tc>
        <w:tc>
          <w:tcPr>
            <w:tcW w:w="1225" w:type="dxa"/>
          </w:tcPr>
          <w:p>
            <w:pPr/>
            <w:r>
              <w:t xml:space="preserve">BI</w:t>
            </w:r>
          </w:p>
        </w:tc>
        <w:tc>
          <w:tcPr>
            <w:tcW w:w="2564" w:type="dxa"/>
          </w:tcPr>
          <w:p>
            <w:pPr/>
            <w:r>
              <w:t xml:space="preserve">Ich plane, Virtual Reality für meine Aufgaben zu nutzen.</w:t>
            </w:r>
          </w:p>
        </w:tc>
        <w:tc>
          <w:tcPr>
            <w:tcW w:w="2346" w:type="dxa"/>
          </w:tcPr>
          <w:p>
            <w:pPr/>
            <w:r>
              <w:t xml:space="preserve">Ich plane, Copilot für meine Aufgaben zu nutzen.</w:t>
            </w:r>
          </w:p>
        </w:tc>
        <w:tc>
          <w:tcPr>
            <w:tcW w:w="1560" w:type="dxa"/>
          </w:tcPr>
          <w:p>
            <w:pPr/>
            <w:r>
              <w:t xml:space="preserve">K</w:t>
            </w:r>
          </w:p>
        </w:tc>
        <w:tc>
          <w:tcPr>
            <w:tcW w:w="720" w:type="dxa"/>
          </w:tcPr>
          <w:p>
            <w:pPr/>
            <w:r>
              <w:t xml:space="preserve">–</w:t>
            </w:r>
          </w:p>
        </w:tc>
      </w:tr>
      <w:tr>
        <w:tc>
          <w:tcPr>
            <w:tcW w:w="945" w:type="dxa"/>
          </w:tcPr>
          <w:p>
            <w:pPr/>
            <w:r>
              <w:t xml:space="preserve">D1-F3-BI-3</w:t>
            </w:r>
          </w:p>
        </w:tc>
        <w:tc>
          <w:tcPr>
            <w:tcW w:w="1225" w:type="dxa"/>
          </w:tcPr>
          <w:p>
            <w:pPr/>
            <w:r>
              <w:t xml:space="preserve">BI</w:t>
            </w:r>
          </w:p>
        </w:tc>
        <w:tc>
          <w:tcPr>
            <w:tcW w:w="2564" w:type="dxa"/>
          </w:tcPr>
          <w:p>
            <w:pPr/>
            <w:r>
              <w:t xml:space="preserve">Wenn Virtual Reality verfügbar wäre, würde ich sie für meine Aufgaben einsetzen.</w:t>
            </w:r>
          </w:p>
        </w:tc>
        <w:tc>
          <w:tcPr>
            <w:tcW w:w="2346" w:type="dxa"/>
          </w:tcPr>
          <w:p>
            <w:pPr/>
            <w:r>
              <w:t xml:space="preserve">Wenn Copilot verfügbar wäre, würde ich ihn für meine Aufgaben einsetzen.</w:t>
            </w:r>
          </w:p>
        </w:tc>
        <w:tc>
          <w:tcPr>
            <w:tcW w:w="1560" w:type="dxa"/>
          </w:tcPr>
          <w:p>
            <w:pPr/>
            <w:r>
              <w:t xml:space="preserve">K (Name, Genus). Mischmodus im Block bleibt (K): Der Konjunktiv betrifft die Verfügbarkeit vor der Einführung, nicht eine Nutzung (Regel 8 nicht verletzt).</w:t>
            </w:r>
          </w:p>
        </w:tc>
        <w:tc>
          <w:tcPr>
            <w:tcW w:w="720" w:type="dxa"/>
          </w:tcPr>
          <w:p>
            <w:pPr/>
            <w:r>
              <w:t xml:space="preserve">–</w:t>
            </w:r>
          </w:p>
        </w:tc>
      </w:tr>
      <w:tr>
        <w:tc>
          <w:tcPr>
            <w:tcW w:w="945" w:type="dxa"/>
          </w:tcPr>
          <w:p>
            <w:pPr/>
            <w:r>
              <w:t xml:space="preserve">D1-F3-PERF-1</w:t>
            </w:r>
          </w:p>
        </w:tc>
        <w:tc>
          <w:tcPr>
            <w:tcW w:w="1225" w:type="dxa"/>
          </w:tcPr>
          <w:p>
            <w:pPr/>
            <w:r>
              <w:t xml:space="preserve">PERF</w:t>
            </w:r>
          </w:p>
        </w:tc>
        <w:tc>
          <w:tcPr>
            <w:tcW w:w="2564" w:type="dxa"/>
          </w:tcPr>
          <w:p>
            <w:pPr/>
            <w:r>
              <w:t xml:space="preserve">Ich denke, dass sich meine Leistung bei meinen Aufgaben durch die Nutzung von Virtual Reality verbessern würde.</w:t>
            </w:r>
          </w:p>
        </w:tc>
        <w:tc>
          <w:tcPr>
            <w:tcW w:w="2346" w:type="dxa"/>
          </w:tcPr>
          <w:p>
            <w:pPr/>
            <w:r>
              <w:t xml:space="preserve">Ich denke, dass sich meine Leistung bei meinen Aufgaben durch die Nutzung von Copilot verbessern würde.</w:t>
            </w:r>
          </w:p>
        </w:tc>
        <w:tc>
          <w:tcPr>
            <w:tcW w:w="1560" w:type="dxa"/>
          </w:tcPr>
          <w:p>
            <w:pPr/>
            <w:r>
              <w:t xml:space="preserve">K. Konjunktiv bleibt, weil das Item eine Nutzung voraussetzt.</w:t>
            </w:r>
          </w:p>
        </w:tc>
        <w:tc>
          <w:tcPr>
            <w:tcW w:w="720" w:type="dxa"/>
          </w:tcPr>
          <w:p>
            <w:pPr/>
            <w:r>
              <w:t xml:space="preserve">–</w:t>
            </w:r>
          </w:p>
        </w:tc>
      </w:tr>
      <w:tr>
        <w:tc>
          <w:tcPr>
            <w:tcW w:w="945" w:type="dxa"/>
          </w:tcPr>
          <w:p>
            <w:pPr/>
            <w:r>
              <w:t xml:space="preserve">D1-F3-PERF-2</w:t>
            </w:r>
          </w:p>
        </w:tc>
        <w:tc>
          <w:tcPr>
            <w:tcW w:w="1225" w:type="dxa"/>
          </w:tcPr>
          <w:p>
            <w:pPr/>
            <w:r>
              <w:t xml:space="preserve">PERF</w:t>
            </w:r>
          </w:p>
        </w:tc>
        <w:tc>
          <w:tcPr>
            <w:tcW w:w="2564" w:type="dxa"/>
          </w:tcPr>
          <w:p>
            <w:pPr/>
            <w:r>
              <w:t xml:space="preserve">Ich denke, dass ich mit der Nutzung von Virtual Reality meine Aufgaben besser erledigen könnte als ohne sie.</w:t>
            </w:r>
          </w:p>
        </w:tc>
        <w:tc>
          <w:tcPr>
            <w:tcW w:w="2346" w:type="dxa"/>
          </w:tcPr>
          <w:p>
            <w:pPr/>
            <w:r>
              <w:t xml:space="preserve">Ich denke, dass ich mit der Nutzung von Copilot meine Aufgaben besser erledigen könnte als ohne ihn.</w:t>
            </w:r>
          </w:p>
        </w:tc>
        <w:tc>
          <w:tcPr>
            <w:tcW w:w="1560" w:type="dxa"/>
          </w:tcPr>
          <w:p>
            <w:pPr/>
            <w:r>
              <w:t xml:space="preserve">K (Name, Genus)</w:t>
            </w:r>
          </w:p>
        </w:tc>
        <w:tc>
          <w:tcPr>
            <w:tcW w:w="720" w:type="dxa"/>
          </w:tcPr>
          <w:p>
            <w:pPr/>
            <w:r>
              <w:t xml:space="preserve">–</w:t>
            </w:r>
          </w:p>
        </w:tc>
      </w:tr>
      <w:tr>
        <w:tc>
          <w:tcPr>
            <w:tcW w:w="945" w:type="dxa"/>
          </w:tcPr>
          <w:p>
            <w:pPr/>
            <w:r>
              <w:t xml:space="preserve">D1-F3-PERF-3</w:t>
            </w:r>
          </w:p>
        </w:tc>
        <w:tc>
          <w:tcPr>
            <w:tcW w:w="1225" w:type="dxa"/>
          </w:tcPr>
          <w:p>
            <w:pPr/>
            <w:r>
              <w:t xml:space="preserve">PERF</w:t>
            </w:r>
          </w:p>
        </w:tc>
        <w:tc>
          <w:tcPr>
            <w:tcW w:w="2564" w:type="dxa"/>
          </w:tcPr>
          <w:p>
            <w:pPr/>
            <w:r>
              <w:t xml:space="preserve">Ich denke, dass sich die Qualität meiner Arbeitsergebnisse durch die Nutzung von Virtual Reality verbessern würde.</w:t>
            </w:r>
          </w:p>
        </w:tc>
        <w:tc>
          <w:tcPr>
            <w:tcW w:w="2346" w:type="dxa"/>
          </w:tcPr>
          <w:p>
            <w:pPr/>
            <w:r>
              <w:t xml:space="preserve">Ich denke, dass sich die Qualität meiner Arbeitsergebnisse durch die Nutzung von Copilot verbessern würde.</w:t>
            </w:r>
          </w:p>
        </w:tc>
        <w:tc>
          <w:tcPr>
            <w:tcW w:w="1560" w:type="dxa"/>
          </w:tcPr>
          <w:p>
            <w:pPr/>
            <w:r>
              <w:t xml:space="preserve">K</w:t>
            </w:r>
          </w:p>
        </w:tc>
        <w:tc>
          <w:tcPr>
            <w:tcW w:w="720" w:type="dxa"/>
          </w:tcPr>
          <w:p>
            <w:pPr/>
            <w:r>
              <w:t xml:space="preserve">–</w:t>
            </w:r>
          </w:p>
        </w:tc>
      </w:tr>
    </w:tbl>
    <w:p>
      <w:pPr/>
      <w:r>
        <w:t xml:space="preserve">Zu Polung und Skala bei BI und PERF: Die Items sind gleich gepolt. Kennwert nur pauschal: „all outer loadings for reflective constructs exceeding the 0.708 threshold“ (S. 323) → Pretest: Zustimmungstendenz. Die Skala 1–5 entspricht dem Standard; nur „kann ich nicht beurteilen“ ist S.</w:t>
      </w:r>
    </w:p>
    <w:p>
      <w:pPr>
        <w:pStyle w:val="Heading2"/>
      </w:pPr>
      <w:r>
        <w:t xml:space="preserve">Tabelle C – Hypothesen</w:t>
      </w:r>
    </w:p>
    <w:tbl>
      <w:tblPr>
        <w:tblStyle w:val="TableGrid"/>
        <w:tblW w:w="0" w:type="auto"/>
        <w:tblLayout w:type="fixed"/>
        <w:tblLook w:val="04A0" w:firstRow="1" w:lastRow="0" w:firstColumn="0" w:lastColumn="0" w:noHBand="0" w:noVBand="1"/>
      </w:tblPr>
      <w:tblGrid>
        <w:gridCol w:w="720"/>
        <w:gridCol w:w="1401"/>
        <w:gridCol w:w="1170"/>
        <w:gridCol w:w="1170"/>
        <w:gridCol w:w="1170"/>
        <w:gridCol w:w="1389"/>
        <w:gridCol w:w="1170"/>
        <w:gridCol w:w="1170"/>
      </w:tblGrid>
      <w:tr>
        <w:trPr>
          <w:tblHeader/>
        </w:trPr>
        <w:tc>
          <w:tcPr>
            <w:tcW w:w="720" w:type="dxa"/>
            <w:shd w:val="clear" w:color="auto" w:fill="F2F2F2"/>
          </w:tcPr>
          <w:p>
            <w:pPr/>
            <w:r>
              <w:t xml:space="preserve">H</w:t>
            </w:r>
          </w:p>
        </w:tc>
        <w:tc>
          <w:tcPr>
            <w:tcW w:w="1401" w:type="dxa"/>
            <w:shd w:val="clear" w:color="auto" w:fill="F2F2F2"/>
          </w:tcPr>
          <w:p>
            <w:pPr/>
            <w:r>
              <w:t xml:space="preserve">Hypothese</w:t>
            </w:r>
          </w:p>
        </w:tc>
        <w:tc>
          <w:tcPr>
            <w:tcW w:w="1170" w:type="dxa"/>
            <w:shd w:val="clear" w:color="auto" w:fill="F2F2F2"/>
          </w:tcPr>
          <w:p>
            <w:pPr/>
            <w:r>
              <w:t xml:space="preserve">Gegenannahme</w:t>
            </w:r>
          </w:p>
        </w:tc>
        <w:tc>
          <w:tcPr>
            <w:tcW w:w="1170" w:type="dxa"/>
            <w:shd w:val="clear" w:color="auto" w:fill="F2F2F2"/>
          </w:tcPr>
          <w:p>
            <w:pPr/>
            <w:r>
              <w:t xml:space="preserve">Prädiktor-Items</w:t>
            </w:r>
          </w:p>
        </w:tc>
        <w:tc>
          <w:tcPr>
            <w:tcW w:w="1170" w:type="dxa"/>
            <w:shd w:val="clear" w:color="auto" w:fill="F2F2F2"/>
          </w:tcPr>
          <w:p>
            <w:pPr/>
            <w:r>
              <w:t xml:space="preserve">Kriterium-Items</w:t>
            </w:r>
          </w:p>
        </w:tc>
        <w:tc>
          <w:tcPr>
            <w:tcW w:w="1389" w:type="dxa"/>
            <w:shd w:val="clear" w:color="auto" w:fill="F2F2F2"/>
          </w:tcPr>
          <w:p>
            <w:pPr/>
            <w:r>
              <w:t xml:space="preserve">Herkunft Prädiktor / Kriterium</w:t>
            </w:r>
          </w:p>
        </w:tc>
        <w:tc>
          <w:tcPr>
            <w:tcW w:w="1170" w:type="dxa"/>
            <w:shd w:val="clear" w:color="auto" w:fill="F2F2F2"/>
          </w:tcPr>
          <w:p>
            <w:pPr/>
            <w:r>
              <w:t xml:space="preserve">Quelle (H-Nr., Seite, Ergebnis)</w:t>
            </w:r>
          </w:p>
        </w:tc>
        <w:tc>
          <w:tcPr>
            <w:tcW w:w="1170" w:type="dxa"/>
            <w:shd w:val="clear" w:color="auto" w:fill="F2F2F2"/>
          </w:tcPr>
          <w:p>
            <w:pPr/>
            <w:r>
              <w:t xml:space="preserve">Belegzitat</w:t>
            </w:r>
          </w:p>
        </w:tc>
      </w:tr>
      <w:tr>
        <w:tc>
          <w:tcPr>
            <w:tcW w:w="720" w:type="dxa"/>
          </w:tcPr>
          <w:p>
            <w:pPr/>
            <w:r>
              <w:t xml:space="preserve">H1</w:t>
            </w:r>
          </w:p>
        </w:tc>
        <w:tc>
          <w:tcPr>
            <w:tcW w:w="1401" w:type="dxa"/>
          </w:tcPr>
          <w:p>
            <w:pPr/>
            <w:r>
              <w:t xml:space="preserve">Die Aufgaben-Technologie-Passung (TTF) von Copilot hängt positiv mit der wahrgenommenen individuellen Leistung (PERF) zusammen.</w:t>
            </w:r>
          </w:p>
        </w:tc>
        <w:tc>
          <w:tcPr>
            <w:tcW w:w="1170" w:type="dxa"/>
          </w:tcPr>
          <w:p>
            <w:pPr/>
            <w:r>
              <w:t xml:space="preserve">keine; die Quelle enthält keinen gegenläufigen Befund [eigene Bewertung]</w:t>
            </w:r>
          </w:p>
        </w:tc>
        <w:tc>
          <w:tcPr>
            <w:tcW w:w="1170" w:type="dxa"/>
          </w:tcPr>
          <w:p>
            <w:pPr/>
            <w:r>
              <w:t xml:space="preserve">D1-F3-TTF-* (24, gefiltert)</w:t>
            </w:r>
          </w:p>
        </w:tc>
        <w:tc>
          <w:tcPr>
            <w:tcW w:w="1170" w:type="dxa"/>
          </w:tcPr>
          <w:p>
            <w:pPr/>
            <w:r>
              <w:t xml:space="preserve">D1-F3-PERF-1–3</w:t>
            </w:r>
          </w:p>
        </w:tc>
        <w:tc>
          <w:tcPr>
            <w:tcW w:w="1389" w:type="dxa"/>
          </w:tcPr>
          <w:p>
            <w:pPr/>
            <w:r>
              <w:t xml:space="preserve">TTF-Modell / TTF-Modell (gleiche Theorie)</w:t>
            </w:r>
          </w:p>
        </w:tc>
        <w:tc>
          <w:tcPr>
            <w:tcW w:w="1170" w:type="dxa"/>
          </w:tcPr>
          <w:p>
            <w:pPr/>
            <w:r>
              <w:t xml:space="preserve">P3, H1, S. 322; bestätigt, β = 0.810, p &lt; .001 (S. 324)</w:t>
            </w:r>
          </w:p>
        </w:tc>
        <w:tc>
          <w:tcPr>
            <w:tcW w:w="1170" w:type="dxa"/>
          </w:tcPr>
          <w:p>
            <w:pPr/>
            <w:r>
              <w:t xml:space="preserve">„TTF is positively associated with perceived individual performance with VR.“ (S. 322)</w:t>
            </w:r>
          </w:p>
        </w:tc>
      </w:tr>
      <w:tr>
        <w:tc>
          <w:tcPr>
            <w:tcW w:w="720" w:type="dxa"/>
          </w:tcPr>
          <w:p>
            <w:pPr/>
            <w:r>
              <w:t xml:space="preserve">H2</w:t>
            </w:r>
          </w:p>
        </w:tc>
        <w:tc>
          <w:tcPr>
            <w:tcW w:w="1401" w:type="dxa"/>
          </w:tcPr>
          <w:p>
            <w:pPr/>
            <w:r>
              <w:t xml:space="preserve">TTF von Copilot hängt positiv mit der Nutzungsabsicht (BI) zusammen.</w:t>
            </w:r>
          </w:p>
        </w:tc>
        <w:tc>
          <w:tcPr>
            <w:tcW w:w="1170" w:type="dxa"/>
          </w:tcPr>
          <w:p>
            <w:pPr/>
            <w:r>
              <w:t xml:space="preserve">keine [eigene Bewertung]</w:t>
            </w:r>
          </w:p>
        </w:tc>
        <w:tc>
          <w:tcPr>
            <w:tcW w:w="1170" w:type="dxa"/>
          </w:tcPr>
          <w:p>
            <w:pPr/>
            <w:r>
              <w:t xml:space="preserve">D1-F3-TTF-*</w:t>
            </w:r>
          </w:p>
        </w:tc>
        <w:tc>
          <w:tcPr>
            <w:tcW w:w="1170" w:type="dxa"/>
          </w:tcPr>
          <w:p>
            <w:pPr/>
            <w:r>
              <w:t xml:space="preserve">D1-F3-BI-1–3</w:t>
            </w:r>
          </w:p>
        </w:tc>
        <w:tc>
          <w:tcPr>
            <w:tcW w:w="1389" w:type="dxa"/>
          </w:tcPr>
          <w:p>
            <w:pPr/>
            <w:r>
              <w:t xml:space="preserve">TTF-Modell / UTAUT – </w:t>
            </w:r>
            <w:r>
              <w:rPr>
                <w:b/>
              </w:rPr>
              <w:t xml:space="preserve">theorieübergreifend (in der Quelle geprüft)</w:t>
            </w:r>
            <w:r>
              <w:t xml:space="preserve">: „BI (3 items) was adapted from UTAUT (Venkatesh et al., 2003)“ (S. 322)</w:t>
            </w:r>
          </w:p>
        </w:tc>
        <w:tc>
          <w:tcPr>
            <w:tcW w:w="1170" w:type="dxa"/>
          </w:tcPr>
          <w:p>
            <w:pPr/>
            <w:r>
              <w:t xml:space="preserve">P3, H2, S. 322; bestätigt, β = 0.836, p &lt; .001 (S. 324)</w:t>
            </w:r>
          </w:p>
        </w:tc>
        <w:tc>
          <w:tcPr>
            <w:tcW w:w="1170" w:type="dxa"/>
          </w:tcPr>
          <w:p>
            <w:pPr/>
            <w:r>
              <w:t xml:space="preserve">„TTF is positively associated with the intention to use VR.“ (S. 322)</w:t>
            </w:r>
          </w:p>
        </w:tc>
      </w:tr>
    </w:tbl>
    <w:p>
      <w:pPr/>
      <w:r>
        <w:rPr>
          <w:b/>
        </w:rPr>
        <w:t xml:space="preserve">Vermerke zu H1 und H2</w:t>
      </w:r>
    </w:p>
    <w:p>
      <w:pPr>
        <w:pStyle w:val="ListParagraph"/>
        <w:numPr>
          <w:ilvl w:val="0"/>
          <w:numId w:val="22"/>
        </w:numPr>
      </w:pPr>
      <w:r>
        <w:t xml:space="preserve">Die Befunde stammen aus einer VR-Studie; die Übertragung auf Copilot ist nicht geprüft.</w:t>
      </w:r>
    </w:p>
    <w:p>
      <w:pPr>
        <w:pStyle w:val="ListParagraph"/>
        <w:numPr>
          <w:ilvl w:val="0"/>
          <w:numId w:val="22"/>
        </w:numPr>
      </w:pPr>
      <w:r>
        <w:t xml:space="preserve">TTF ist ein Einzelindikator.</w:t>
      </w:r>
    </w:p>
    <w:p>
      <w:pPr>
        <w:pStyle w:val="ListParagraph"/>
        <w:numPr>
          <w:ilvl w:val="0"/>
          <w:numId w:val="22"/>
        </w:numPr>
      </w:pPr>
      <w:r>
        <w:t xml:space="preserve">Im Quellmodell wurde TTF zusätzlich durch TC und TeC erklärt; TeC wird hier nicht erhoben.</w:t>
      </w:r>
    </w:p>
    <w:p>
      <w:pPr>
        <w:pStyle w:val="ListParagraph"/>
        <w:numPr>
          <w:ilvl w:val="0"/>
          <w:numId w:val="22"/>
        </w:numPr>
      </w:pPr>
      <w:r>
        <w:t xml:space="preserve">Für MAILS und ATAI gibt es keine Hypothesen: Für die ATAI-Validierungshypothese sind die Kriteriumsitems nicht in den Quellen enthalten, und MAILS hat keine geprüften Hypothesen.</w:t>
      </w:r>
    </w:p>
    <w:p>
      <w:pPr>
        <w:pStyle w:val="Heading2"/>
      </w:pPr>
      <w:r>
        <w:t xml:space="preserve">Tabelle D – Prüfprotokoll</w:t>
      </w:r>
    </w:p>
    <w:tbl>
      <w:tblPr>
        <w:tblStyle w:val="TableGrid"/>
        <w:tblW w:w="0" w:type="auto"/>
        <w:tblLayout w:type="fixed"/>
        <w:tblLook w:val="04A0" w:firstRow="1" w:lastRow="0" w:firstColumn="0" w:lastColumn="0" w:noHBand="0" w:noVBand="1"/>
      </w:tblPr>
      <w:tblGrid>
        <w:gridCol w:w="3106"/>
        <w:gridCol w:w="1589"/>
        <w:gridCol w:w="3399"/>
        <w:gridCol w:w="1266"/>
      </w:tblGrid>
      <w:tr>
        <w:trPr>
          <w:tblHeader/>
        </w:trPr>
        <w:tc>
          <w:tcPr>
            <w:tcW w:w="3106" w:type="dxa"/>
            <w:shd w:val="clear" w:color="auto" w:fill="F2F2F2"/>
          </w:tcPr>
          <w:p>
            <w:pPr/>
            <w:r>
              <w:t xml:space="preserve">Prüfpunkt</w:t>
            </w:r>
          </w:p>
        </w:tc>
        <w:tc>
          <w:tcPr>
            <w:tcW w:w="1589" w:type="dxa"/>
            <w:shd w:val="clear" w:color="auto" w:fill="F2F2F2"/>
          </w:tcPr>
          <w:p>
            <w:pPr/>
            <w:r>
              <w:t xml:space="preserve">Status</w:t>
            </w:r>
          </w:p>
        </w:tc>
        <w:tc>
          <w:tcPr>
            <w:tcW w:w="3399" w:type="dxa"/>
            <w:shd w:val="clear" w:color="auto" w:fill="F2F2F2"/>
          </w:tcPr>
          <w:p>
            <w:pPr/>
            <w:r>
              <w:t xml:space="preserve">Nachweis</w:t>
            </w:r>
          </w:p>
        </w:tc>
        <w:tc>
          <w:tcPr>
            <w:tcW w:w="1266" w:type="dxa"/>
            <w:shd w:val="clear" w:color="auto" w:fill="F2F2F2"/>
          </w:tcPr>
          <w:p>
            <w:pPr/>
            <w:r>
              <w:t xml:space="preserve">betroffene IDs / H</w:t>
            </w:r>
          </w:p>
        </w:tc>
      </w:tr>
      <w:tr>
        <w:tc>
          <w:tcPr>
            <w:tcW w:w="3106" w:type="dxa"/>
          </w:tcPr>
          <w:p>
            <w:pPr/>
            <w:r>
              <w:t xml:space="preserve">Angaben aus Inventar; kein Vorwissen; Dateianzahl gezählt</w:t>
            </w:r>
          </w:p>
        </w:tc>
        <w:tc>
          <w:tcPr>
            <w:tcW w:w="1589" w:type="dxa"/>
          </w:tcPr>
          <w:p>
            <w:pPr/>
            <w:r>
              <w:t xml:space="preserve">erfüllt</w:t>
            </w:r>
          </w:p>
        </w:tc>
        <w:tc>
          <w:tcPr>
            <w:tcW w:w="3399" w:type="dxa"/>
          </w:tcPr>
          <w:p>
            <w:pPr/>
            <w:r>
              <w:t xml:space="preserve">12 Dateien gezählt; fehlende Hefte als „nicht in den Quellen enthalten“ vermerkt</w:t>
            </w:r>
          </w:p>
        </w:tc>
        <w:tc>
          <w:tcPr>
            <w:tcW w:w="1266" w:type="dxa"/>
          </w:tcPr>
          <w:p>
            <w:pPr/>
            <w:r>
              <w:t xml:space="preserve">alle</w:t>
            </w:r>
          </w:p>
        </w:tc>
      </w:tr>
      <w:tr>
        <w:tc>
          <w:tcPr>
            <w:tcW w:w="3106" w:type="dxa"/>
          </w:tcPr>
          <w:p>
            <w:pPr/>
            <w:r>
              <w:t xml:space="preserve">Belegzitat je Entscheidung mit ausdrücklichem Konstruktbezug</w:t>
            </w:r>
          </w:p>
        </w:tc>
        <w:tc>
          <w:tcPr>
            <w:tcW w:w="1589" w:type="dxa"/>
          </w:tcPr>
          <w:p>
            <w:pPr/>
            <w:r>
              <w:t xml:space="preserve">Abweichung dokumentiert</w:t>
            </w:r>
          </w:p>
        </w:tc>
        <w:tc>
          <w:tcPr>
            <w:tcW w:w="3399" w:type="dxa"/>
          </w:tcPr>
          <w:p>
            <w:pPr/>
            <w:r>
              <w:t xml:space="preserve">Itemauswahl MAILS und Filterverdichtung als [eigene Bewertung]; TC-Ausschlüsse nicht auf TTF übertragen (Bezug „TC“, S. 323)</w:t>
            </w:r>
          </w:p>
        </w:tc>
        <w:tc>
          <w:tcPr>
            <w:tcW w:w="1266" w:type="dxa"/>
          </w:tcPr>
          <w:p>
            <w:pPr/>
            <w:r>
              <w:t xml:space="preserve">S1a-</w:t>
            </w:r>
            <w:r>
              <w:rPr>
                <w:i/>
              </w:rPr>
              <w:t xml:space="preserve">, TTF-</w:t>
            </w:r>
          </w:p>
        </w:tc>
      </w:tr>
      <w:tr>
        <w:tc>
          <w:tcPr>
            <w:tcW w:w="3106" w:type="dxa"/>
          </w:tcPr>
          <w:p>
            <w:pPr/>
            <w:r>
              <w:t xml:space="preserve">Eine Theorie je Konstrukt; theorieübergreifende H gekennzeichnet; Namen nach Regel 6; Bezugsebene unverändert</w:t>
            </w:r>
          </w:p>
        </w:tc>
        <w:tc>
          <w:tcPr>
            <w:tcW w:w="1589" w:type="dxa"/>
          </w:tcPr>
          <w:p>
            <w:pPr/>
            <w:r>
              <w:t xml:space="preserve">erfüllt</w:t>
            </w:r>
          </w:p>
        </w:tc>
        <w:tc>
          <w:tcPr>
            <w:tcW w:w="3399" w:type="dxa"/>
          </w:tcPr>
          <w:p>
            <w:pPr/>
            <w:r>
              <w:t xml:space="preserve">BI = UTAUT, TTF/PERF = TTF-Modell; H2 gekennzeichnet; kein Ebenenwechsel</w:t>
            </w:r>
          </w:p>
        </w:tc>
        <w:tc>
          <w:tcPr>
            <w:tcW w:w="1266" w:type="dxa"/>
          </w:tcPr>
          <w:p>
            <w:pPr/>
            <w:r>
              <w:t xml:space="preserve">H2</w:t>
            </w:r>
          </w:p>
        </w:tc>
      </w:tr>
      <w:tr>
        <w:tc>
          <w:tcPr>
            <w:tcW w:w="3106" w:type="dxa"/>
          </w:tcPr>
          <w:p>
            <w:pPr/>
            <w:r>
              <w:t xml:space="preserve">Dimensionen je eine Quelle; Subskalen-Teilauswahl belegt; Arbeitsdefinition; Profil ohne Gesamtwert</w:t>
            </w:r>
          </w:p>
        </w:tc>
        <w:tc>
          <w:tcPr>
            <w:tcW w:w="1589" w:type="dxa"/>
          </w:tcPr>
          <w:p>
            <w:pPr/>
            <w:r>
              <w:t xml:space="preserve">Abweichung dokumentiert</w:t>
            </w:r>
          </w:p>
        </w:tc>
        <w:tc>
          <w:tcPr>
            <w:tcW w:w="3399" w:type="dxa"/>
          </w:tcPr>
          <w:p>
            <w:pPr/>
            <w:r>
              <w:t xml:space="preserve">Modularität belegt (S1b S. 2); Arbeitsdefinition und Dimensionen fehlen in den Fall-Parametern → Offene Punkte; D5 ohne Quelle</w:t>
            </w:r>
          </w:p>
        </w:tc>
        <w:tc>
          <w:tcPr>
            <w:tcW w:w="1266" w:type="dxa"/>
          </w:tcPr>
          <w:p>
            <w:pPr/>
            <w:r>
              <w:t xml:space="preserve">D1–D5</w:t>
            </w:r>
          </w:p>
        </w:tc>
      </w:tr>
      <w:tr>
        <w:tc>
          <w:tcPr>
            <w:tcW w:w="3106" w:type="dxa"/>
          </w:tcPr>
          <w:p>
            <w:pPr/>
            <w:r>
              <w:t xml:space="preserve">3–4 Items je Konstrukt; Filter mit Regel; Aggregation mit allen Teilbereichen; Einsatzfelder; Blockreihenfolge</w:t>
            </w:r>
          </w:p>
        </w:tc>
        <w:tc>
          <w:tcPr>
            <w:tcW w:w="1589" w:type="dxa"/>
          </w:tcPr>
          <w:p>
            <w:pPr/>
            <w:r>
              <w:t xml:space="preserve">Abweichung dokumentiert</w:t>
            </w:r>
          </w:p>
        </w:tc>
        <w:tc>
          <w:tcPr>
            <w:tcW w:w="3399" w:type="dxa"/>
          </w:tcPr>
          <w:p>
            <w:pPr/>
            <w:r>
              <w:t xml:space="preserve">Gezählt: MAILS 4/4/3/3; ATAI 2 (alle)/3; TTF 24 (alle 8 Aufgabenarten); BI 3; PERF 3; TC 24. Einsatzfelder teilweise nicht abgedeckt; Reihenfolge-Abweichungen begründet</w:t>
            </w:r>
          </w:p>
        </w:tc>
        <w:tc>
          <w:tcPr>
            <w:tcW w:w="1266" w:type="dxa"/>
          </w:tcPr>
          <w:p>
            <w:pPr/>
            <w:r>
              <w:t xml:space="preserve">–</w:t>
            </w:r>
          </w:p>
        </w:tc>
      </w:tr>
      <w:tr>
        <w:tc>
          <w:tcPr>
            <w:tcW w:w="3106" w:type="dxa"/>
          </w:tcPr>
          <w:p>
            <w:pPr/>
            <w:r>
              <w:t xml:space="preserve">Keine zweidimensionalen, suggestiven oder verneinten Items; Verstärker belegt; keine vorausgesetzte Erfahrung; Modus je Block</w:t>
            </w:r>
          </w:p>
        </w:tc>
        <w:tc>
          <w:tcPr>
            <w:tcW w:w="1589" w:type="dxa"/>
          </w:tcPr>
          <w:p>
            <w:pPr/>
            <w:r>
              <w:t xml:space="preserve">Abweichung dokumentiert</w:t>
            </w:r>
          </w:p>
        </w:tc>
        <w:tc>
          <w:tcPr>
            <w:tcW w:w="3399" w:type="dxa"/>
          </w:tcPr>
          <w:p>
            <w:pPr/>
            <w:r>
              <w:t xml:space="preserve">Begriffspaare (S1a-09, -25) und Verstärker (S1a-26, -28) mit Beleg und Pretest; „strikt“ angeglichen; BI-3 als Mischmodus dokumentiert</w:t>
            </w:r>
          </w:p>
        </w:tc>
        <w:tc>
          <w:tcPr>
            <w:tcW w:w="1266" w:type="dxa"/>
          </w:tcPr>
          <w:p>
            <w:pPr/>
            <w:r>
              <w:t xml:space="preserve">S1a-09, -25, -26, -28; TTF-AUS-3; BI-3</w:t>
            </w:r>
          </w:p>
        </w:tc>
      </w:tr>
      <w:tr>
        <w:tc>
          <w:tcPr>
            <w:tcW w:w="3106" w:type="dxa"/>
          </w:tcPr>
          <w:p>
            <w:pPr/>
            <w:r>
              <w:t xml:space="preserve">Nur erlaubte Änderungen; keine Intensitätsänderung; kein Begriff in Items verschiedener Konstrukte; Ü/K/I/S dokumentiert</w:t>
            </w:r>
          </w:p>
        </w:tc>
        <w:tc>
          <w:tcPr>
            <w:tcW w:w="1589" w:type="dxa"/>
          </w:tcPr>
          <w:p>
            <w:pPr/>
            <w:r>
              <w:t xml:space="preserve">Abweichung dokumentiert</w:t>
            </w:r>
          </w:p>
        </w:tc>
        <w:tc>
          <w:tcPr>
            <w:tcW w:w="3399" w:type="dxa"/>
          </w:tcPr>
          <w:p>
            <w:pPr/>
            <w:r>
              <w:t xml:space="preserve">„KI/künstliche Intelligenz“ als Gegenstandsbegriff instrumentübergreifend zugelassen [eigene Bewertung]; „zukünftig/künftig“ als Konflikt mit Pretest</w:t>
            </w:r>
          </w:p>
        </w:tc>
        <w:tc>
          <w:tcPr>
            <w:tcW w:w="1266" w:type="dxa"/>
          </w:tcPr>
          <w:p>
            <w:pPr/>
            <w:r>
              <w:t xml:space="preserve">S1a-12</w:t>
            </w:r>
          </w:p>
        </w:tc>
      </w:tr>
      <w:tr>
        <w:tc>
          <w:tcPr>
            <w:tcW w:w="3106" w:type="dxa"/>
          </w:tcPr>
          <w:p>
            <w:pPr/>
            <w:r>
              <w:t xml:space="preserve">Instruktion: Anonymität, Gliederung, Modalverben, keine Praxis/Vorteile/Filterregeln; Optionshinweis blockgenau</w:t>
            </w:r>
          </w:p>
        </w:tc>
        <w:tc>
          <w:tcPr>
            <w:tcW w:w="1589" w:type="dxa"/>
          </w:tcPr>
          <w:p>
            <w:pPr/>
            <w:r>
              <w:t xml:space="preserve">erfüllt</w:t>
            </w:r>
          </w:p>
        </w:tc>
        <w:tc>
          <w:tcPr>
            <w:tcW w:w="3399" w:type="dxa"/>
          </w:tcPr>
          <w:p>
            <w:pPr/>
            <w:r>
              <w:t xml:space="preserve">4 Abschnitte wie D1-F3; nur „kann“-Formulierungen; Hinweis nennt Blöcke 1–3 und 5–7</w:t>
            </w:r>
          </w:p>
        </w:tc>
        <w:tc>
          <w:tcPr>
            <w:tcW w:w="1266" w:type="dxa"/>
          </w:tcPr>
          <w:p>
            <w:pPr/>
            <w:r>
              <w:t xml:space="preserve">–</w:t>
            </w:r>
          </w:p>
        </w:tc>
      </w:tr>
      <w:tr>
        <w:tc>
          <w:tcPr>
            <w:tcW w:w="3106" w:type="dxa"/>
          </w:tcPr>
          <w:p>
            <w:pPr/>
            <w:r>
              <w:t xml:space="preserve">Skala nach 2.5</w:t>
            </w:r>
          </w:p>
        </w:tc>
        <w:tc>
          <w:tcPr>
            <w:tcW w:w="1589" w:type="dxa"/>
          </w:tcPr>
          <w:p>
            <w:pPr/>
            <w:r>
              <w:t xml:space="preserve">erfüllt</w:t>
            </w:r>
          </w:p>
        </w:tc>
        <w:tc>
          <w:tcPr>
            <w:tcW w:w="3399" w:type="dxa"/>
          </w:tcPr>
          <w:p>
            <w:pPr/>
            <w:r>
              <w:t xml:space="preserve">MAILS und ATAI 0–10 behalten (Begründung S1b S. 6, S2 S. 112); Zusatzoption als S</w:t>
            </w:r>
          </w:p>
        </w:tc>
        <w:tc>
          <w:tcPr>
            <w:tcW w:w="1266" w:type="dxa"/>
          </w:tcPr>
          <w:p>
            <w:pPr/>
            <w:r>
              <w:t xml:space="preserve">S2-</w:t>
            </w:r>
            <w:r>
              <w:rPr>
                <w:i/>
              </w:rPr>
              <w:t xml:space="preserve">, S1a-</w:t>
            </w:r>
          </w:p>
        </w:tc>
      </w:tr>
      <w:tr>
        <w:tc>
          <w:tcPr>
            <w:tcW w:w="3106" w:type="dxa"/>
          </w:tcPr>
          <w:p>
            <w:pPr/>
            <w:r>
              <w:t xml:space="preserve">Hypothesen: Messung, Herkunft, Belege, Modellabweichung</w:t>
            </w:r>
          </w:p>
        </w:tc>
        <w:tc>
          <w:tcPr>
            <w:tcW w:w="1589" w:type="dxa"/>
          </w:tcPr>
          <w:p>
            <w:pPr/>
            <w:r>
              <w:t xml:space="preserve">erfüllt</w:t>
            </w:r>
          </w:p>
        </w:tc>
        <w:tc>
          <w:tcPr>
            <w:tcW w:w="3399" w:type="dxa"/>
          </w:tcPr>
          <w:p>
            <w:pPr/>
            <w:r>
              <w:t xml:space="preserve">Tabelle C</w:t>
            </w:r>
          </w:p>
        </w:tc>
        <w:tc>
          <w:tcPr>
            <w:tcW w:w="1266" w:type="dxa"/>
          </w:tcPr>
          <w:p>
            <w:pPr/>
            <w:r>
              <w:t xml:space="preserve">H1, H2</w:t>
            </w:r>
          </w:p>
        </w:tc>
      </w:tr>
      <w:tr>
        <w:tc>
          <w:tcPr>
            <w:tcW w:w="3106" w:type="dxa"/>
          </w:tcPr>
          <w:p>
            <w:pPr/>
            <w:r>
              <w:t xml:space="preserve">Itemzahlen gezählt; keine Widersprüche; keine Pauschalaussagen</w:t>
            </w:r>
          </w:p>
        </w:tc>
        <w:tc>
          <w:tcPr>
            <w:tcW w:w="1589" w:type="dxa"/>
          </w:tcPr>
          <w:p>
            <w:pPr/>
            <w:r>
              <w:t xml:space="preserve">erfüllt</w:t>
            </w:r>
          </w:p>
        </w:tc>
        <w:tc>
          <w:tcPr>
            <w:tcW w:w="3399" w:type="dxa"/>
          </w:tcPr>
          <w:p>
            <w:pPr/>
            <w:r>
              <w:t xml:space="preserve">14 + 5 + 24 + 24 + 3 + 3 = 73 Items</w:t>
            </w:r>
          </w:p>
        </w:tc>
        <w:tc>
          <w:tcPr>
            <w:tcW w:w="1266" w:type="dxa"/>
          </w:tcPr>
          <w:p>
            <w:pPr/>
            <w:r>
              <w:t xml:space="preserve">–</w:t>
            </w:r>
          </w:p>
        </w:tc>
      </w:tr>
      <w:tr>
        <w:tc>
          <w:tcPr>
            <w:tcW w:w="3106" w:type="dxa"/>
          </w:tcPr>
          <w:p>
            <w:pPr/>
            <w:r>
              <w:t xml:space="preserve">Literatur nur aus 1a; „et al.“; „zit. n.“; fehlende Angaben markiert</w:t>
            </w:r>
          </w:p>
        </w:tc>
        <w:tc>
          <w:tcPr>
            <w:tcW w:w="1589" w:type="dxa"/>
          </w:tcPr>
          <w:p>
            <w:pPr/>
            <w:r>
              <w:t xml:space="preserve">erfüllt</w:t>
            </w:r>
          </w:p>
        </w:tc>
        <w:tc>
          <w:tcPr>
            <w:tcW w:w="3399" w:type="dxa"/>
          </w:tcPr>
          <w:p>
            <w:pPr/>
            <w:r>
              <w:t xml:space="preserve">Literaturverzeichnis</w:t>
            </w:r>
          </w:p>
        </w:tc>
        <w:tc>
          <w:tcPr>
            <w:tcW w:w="1266" w:type="dxa"/>
          </w:tcPr>
          <w:p>
            <w:pPr/>
            <w:r>
              <w:t xml:space="preserve">–</w:t>
            </w:r>
          </w:p>
        </w:tc>
      </w:tr>
    </w:tbl>
    <w:p>
      <w:pPr>
        <w:pStyle w:val="Heading2"/>
      </w:pPr>
      <w:r>
        <w:t xml:space="preserve">Offene Punkte</w:t>
      </w:r>
    </w:p>
    <w:p>
      <w:pPr>
        <w:pStyle w:val="ListParagraph"/>
        <w:numPr>
          <w:ilvl w:val="0"/>
          <w:numId w:val="23"/>
        </w:numPr>
      </w:pPr>
      <w:r>
        <w:rPr>
          <w:b/>
        </w:rPr>
        <w:t xml:space="preserve">Arbeitsdefinition KI-Readiness und Dimensionen</w:t>
      </w:r>
      <w:r>
        <w:t xml:space="preserve"> sind in den Fall-Parametern nicht enthalten. Die Dimensionen D1–D5 sind vorläufig [eigene Bewertung]; KI-Readiness ist nicht definiert.</w:t>
      </w:r>
    </w:p>
    <w:p>
      <w:pPr>
        <w:pStyle w:val="ListParagraph"/>
        <w:numPr>
          <w:ilvl w:val="0"/>
          <w:numId w:val="23"/>
        </w:numPr>
      </w:pPr>
      <w:r>
        <w:rPr>
          <w:b/>
        </w:rPr>
        <w:t xml:space="preserve">D5 Vertrauen:</w:t>
      </w:r>
      <w:r>
        <w:t xml:space="preserve"> keine passende Quelle. P4 fehlt die Antwortskala, P4 arbeitet auf Entscheider- und „wir“-Ebene, und Benevolence/Integrity gingen als Einzelmaße ein.</w:t>
      </w:r>
    </w:p>
    <w:p>
      <w:pPr>
        <w:pStyle w:val="ListParagraph"/>
        <w:numPr>
          <w:ilvl w:val="0"/>
          <w:numId w:val="23"/>
        </w:numPr>
      </w:pPr>
      <w:r>
        <w:rPr>
          <w:b/>
        </w:rPr>
        <w:t xml:space="preserve">Einsatzfelder:</w:t>
      </w:r>
      <w:r>
        <w:t xml:space="preserve"> „Texte entwerfen“ und „zusammenfassen“ deckt keine McGrath-Aufgabenart ab. „Daten auswerten“ deckt nur INT teilweise ab, „Abläufe planen“ deckt PLA ab [eigene Bewertung].</w:t>
      </w:r>
    </w:p>
    <w:p>
      <w:pPr>
        <w:pStyle w:val="ListParagraph"/>
        <w:numPr>
          <w:ilvl w:val="0"/>
          <w:numId w:val="23"/>
        </w:numPr>
      </w:pPr>
      <w:r>
        <w:rPr>
          <w:b/>
        </w:rPr>
        <w:t xml:space="preserve">Einschränkung der Urteilsbasis:</w:t>
      </w:r>
    </w:p>
    <w:p>
      <w:pPr>
        <w:pStyle w:val="ListParagraph"/>
        <w:numPr>
          <w:ilvl w:val="1"/>
          <w:numId w:val="24"/>
        </w:numPr>
      </w:pPr>
      <w:r>
        <w:t xml:space="preserve">keine Abbildungen;</w:t>
      </w:r>
    </w:p>
    <w:p>
      <w:pPr>
        <w:pStyle w:val="ListParagraph"/>
        <w:numPr>
          <w:ilvl w:val="1"/>
          <w:numId w:val="24"/>
        </w:numPr>
      </w:pPr>
      <w:r>
        <w:t xml:space="preserve">Aufmerksamkeitscheck aus der Abbildung nicht übernommen;</w:t>
      </w:r>
    </w:p>
    <w:p>
      <w:pPr>
        <w:pStyle w:val="ListParagraph"/>
        <w:numPr>
          <w:ilvl w:val="1"/>
          <w:numId w:val="24"/>
        </w:numPr>
      </w:pPr>
      <w:r>
        <w:t xml:space="preserve">Eignungssatz im Abschnitt „Use Context“ nicht übertragen, weil er eine Wertung wäre;</w:t>
      </w:r>
    </w:p>
    <w:p>
      <w:pPr>
        <w:pStyle w:val="ListParagraph"/>
        <w:numPr>
          <w:ilvl w:val="1"/>
          <w:numId w:val="24"/>
        </w:numPr>
      </w:pPr>
      <w:r>
        <w:t xml:space="preserve">VR-spezifische TeC-Merkmale ohne Copilot-Entsprechung.</w:t>
      </w:r>
    </w:p>
    <w:p>
      <w:pPr>
        <w:pStyle w:val="ListParagraph"/>
        <w:numPr>
          <w:ilvl w:val="0"/>
          <w:numId w:val="23"/>
        </w:numPr>
      </w:pPr>
      <w:r>
        <w:rPr>
          <w:b/>
        </w:rPr>
        <w:t xml:space="preserve">Beispielnennung je Aufgabenart</w:t>
      </w:r>
      <w:r>
        <w:t xml:space="preserve"> (TC-Instruktion): Die Fragen sind nicht wörtlich in den Quellen enthalten; der Satz wurde gestrichen (K).</w:t>
      </w:r>
    </w:p>
    <w:p>
      <w:pPr>
        <w:pStyle w:val="ListParagraph"/>
        <w:numPr>
          <w:ilvl w:val="0"/>
          <w:numId w:val="23"/>
        </w:numPr>
      </w:pPr>
      <w:r>
        <w:rPr>
          <w:b/>
        </w:rPr>
        <w:t xml:space="preserve">MAILS</w:t>
      </w:r>
      <w:r>
        <w:t xml:space="preserve"> wurde auf Deutsch erhoben, die deutsche Itemfassung fehlt aber in den Quellen. Die Übersetzung ist nicht validiert; eine unabhängige Rückübersetzung steht aus. Empfehlung: die deutsche Originalfassung beschaffen.</w:t>
      </w:r>
    </w:p>
    <w:p>
      <w:pPr>
        <w:pStyle w:val="ListParagraph"/>
        <w:numPr>
          <w:ilvl w:val="0"/>
          <w:numId w:val="23"/>
        </w:numPr>
      </w:pPr>
      <w:r>
        <w:t xml:space="preserve">Kopien von P1 und P2 nicht auf Inhaltsgleichheit geprüft.</w:t>
      </w:r>
    </w:p>
    <w:p>
      <w:pPr>
        <w:pStyle w:val="ListParagraph"/>
        <w:numPr>
          <w:ilvl w:val="0"/>
          <w:numId w:val="23"/>
        </w:numPr>
      </w:pPr>
      <w:r>
        <w:t xml:space="preserve">P3: 60 vs. 63 Items (⚠); die Itemkennwerte im OSF-Anhang sind nicht in den Quellen enthalten.</w:t>
      </w:r>
    </w:p>
    <w:p>
      <w:pPr>
        <w:pStyle w:val="ListParagraph"/>
        <w:numPr>
          <w:ilvl w:val="0"/>
          <w:numId w:val="23"/>
        </w:numPr>
      </w:pPr>
      <w:r>
        <w:rPr>
          <w:b/>
        </w:rPr>
        <w:t xml:space="preserve">„Je Prädiktorkonstrukt eine Hypothese“:</w:t>
      </w:r>
      <w:r>
        <w:t xml:space="preserve"> gelesen als „je Hypothese genau ein Prädiktor und ein Kriterium“, daher H1 und H2 [eigene Bewertung]. Bei strenger Lesart entfällt H1 oder H2.</w:t>
      </w:r>
    </w:p>
    <w:p>
      <w:pPr>
        <w:pStyle w:val="ListParagraph"/>
        <w:numPr>
          <w:ilvl w:val="0"/>
          <w:numId w:val="23"/>
        </w:numPr>
      </w:pPr>
      <w:r>
        <w:t xml:space="preserve">Die deutschen Antwortlabels aller Skalen sind nicht in den Quellen enthalten (Ü).</w:t>
      </w:r>
    </w:p>
    <w:p>
      <w:pPr>
        <w:pStyle w:val="Heading2"/>
      </w:pPr>
      <w:r>
        <w:t xml:space="preserve">Literaturverzeichnis (APA 7)</w:t>
      </w:r>
    </w:p>
    <w:p>
      <w:pPr/>
      <w:r>
        <w:t xml:space="preserve">Carolus, A., Koch, M. J., Straka, S., Latoschik, M. E., &amp; Wienrich, C. (2023). MAILS - Meta AI literacy scale: Development and testing of an AI literacy questionnaire based on well-founded competency models and psychological change- and meta-competencies. </w:t>
      </w:r>
      <w:r>
        <w:rPr>
          <w:i/>
        </w:rPr>
        <w:t xml:space="preserve">Computers in Human Behavior: Artificial Humans, 1</w:t>
      </w:r>
      <w:r>
        <w:t xml:space="preserve">(2), 100014. https://doi.org/10.1016/j.chbah.2023.100014</w:t>
      </w:r>
    </w:p>
    <w:p>
      <w:pPr/>
      <w:r>
        <w:t xml:space="preserve">Do Khac, L. T., Leyer, M., Wichmann, J., &amp; Richter, A. (2025). Divisional perspectives on trust in generative AI: An empirical study of senior decision-makers. </w:t>
      </w:r>
      <w:r>
        <w:rPr>
          <w:i/>
        </w:rPr>
        <w:t xml:space="preserve">Enterprise Information Systems</w:t>
      </w:r>
      <w:r>
        <w:t xml:space="preserve">. https://doi.org/10.1080/17517575.2025.2481557 [Jahrgang, Heft, Seiten: nicht in den Quellen enthalten]</w:t>
      </w:r>
    </w:p>
    <w:p>
      <w:pPr/>
      <w:r>
        <w:t xml:space="preserve">Paetow, T., Wichmann, J., &amp; Leyer, M. (2026). Task-technology fit in virtual reality: Explaining behavioral intention to use and perceived performance. In </w:t>
      </w:r>
      <w:r>
        <w:rPr>
          <w:i/>
        </w:rPr>
        <w:t xml:space="preserve">Proceedings of the 59th Hawaii International Conference on System Sciences</w:t>
      </w:r>
      <w:r>
        <w:t xml:space="preserve"> (pp. 319–328). https://hdl.handle.net/10125/111430</w:t>
      </w:r>
    </w:p>
    <w:p>
      <w:pPr/>
      <w:r>
        <w:t xml:space="preserve">Sindermann, C., Sha, P., Zhou, M., Wernicke, J., Schmitt, H. S., Li, M., Sariyska, R., Stavrou, M., Becker, B., &amp; Montag, C. (2021). Assessing the attitude towards artificial intelligence: Introduction of a short measure in German, Chinese, and English language. </w:t>
      </w:r>
      <w:r>
        <w:rPr>
          <w:i/>
        </w:rPr>
        <w:t xml:space="preserve">KI - Künstliche Intelligenz, 35</w:t>
      </w:r>
      <w:r>
        <w:t xml:space="preserve">, 109–118. https://doi.org/10.1007/s13218-020-00689-0 [Heft: nicht in den Quellen enthalten]</w:t>
      </w:r>
    </w:p>
    <w:p>
      <w:pPr/>
      <w:r>
        <w:t xml:space="preserve">Wichmann, J., Behn, O., Degirmenci, K., Leyer, M., &amp; Barros, A. (2025). An integrated theoretical model to predict the intention to use energy monitoring applications. Evidence from Germany. In </w:t>
      </w:r>
      <w:r>
        <w:rPr>
          <w:i/>
        </w:rPr>
        <w:t xml:space="preserve">Proceedings of the 58th Hawaii International Conference on System Sciences</w:t>
      </w:r>
      <w:r>
        <w:t xml:space="preserve"> (pp. 961–970). https://hdl.handle.net/10125/108952</w:t>
      </w:r>
    </w:p>
    <w:p>
      <w:pPr/>
      <w:r>
        <w:t xml:space="preserve">Wichmann, J., Gesk, T. S., &amp; Leyer, M. (2024). Acceptance of AI in health care for short- and long-term treatments: Pilot development study of an integrated theoretical model. </w:t>
      </w:r>
      <w:r>
        <w:rPr>
          <w:i/>
        </w:rPr>
        <w:t xml:space="preserve">JMIR Formative Research, 8</w:t>
      </w:r>
      <w:r>
        <w:t xml:space="preserve">, e48600. https://doi.org/10.2196/48600 [Heft: nicht in den Quellen enthalten]</w:t>
      </w:r>
    </w:p>
    <w:p>
      <w:pPr/>
      <w:r>
        <w:t xml:space="preserve">Wichmann, J., Gesk, T. S., &amp; Leyer, M. (2026). The effect of social interaction in virtual meeting settings on work engagement: A socio-technical systems study. </w:t>
      </w:r>
      <w:r>
        <w:rPr>
          <w:i/>
        </w:rPr>
        <w:t xml:space="preserve">Information Technology and Management, 27</w:t>
      </w:r>
      <w:r>
        <w:t xml:space="preserve">, 173–185. https://doi.org/10.1007/s10799-025-00453-6 [Heft: nicht in den Quellen enthalten]</w:t>
      </w:r>
    </w:p>
    <w:p>
      <w:pPr/>
      <w:r>
        <w:t xml:space="preserve">Itemkatalog D1 („Itemkatalog Fragebogen 1–5 zu P1–P5“): keine bibliografischen Angaben; gilt jeweils zusammen mit P1–P5.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1"/>
    <w:lvlOverride w:ilvl="0">
      <w:startOverride w:val="1"/>
    </w:lvlOverride>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KI-Readiness Copilot – Quelleninventar und Fragebogen (Prompt V7)</dc:title>
  <dc:description>Claude Docs node/d790f1f5-d2d9@14 docx-w7</dc:description>
  <cp:revision>14</cp:revision>
</cp:coreProperties>
</file>