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Selbstevaluation des Fragebogens (Lauf 1)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Prüfgegenstand: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Output von Master-Prompt Version A (Theorieauswahl, Hypothesen, Itemtabelle, Selbstprüfung, Literatur).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Bewertung: </w:t>
      </w: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● schwer · ◐ mittel · ○ gering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Evaluation und Korrekturvorschläge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A. Theorievermischung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2626"/>
        <w:gridCol w:w="4464"/>
        <w:gridCol w:w="656"/>
        <w:gridCol w:w="4597"/>
      </w:tblGrid>
      <w:tr>
        <w:trPr>
          <w:tblHeader/>
        </w:trPr>
        <w:tc>
          <w:tcPr>
            <w:tcW w:type="dxa" w:w="78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6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Fundstelle</w:t>
            </w:r>
          </w:p>
        </w:tc>
        <w:tc>
          <w:tcPr>
            <w:tcW w:type="dxa" w:w="44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Befund</w:t>
            </w:r>
          </w:p>
        </w:tc>
        <w:tc>
          <w:tcPr>
            <w:tcW w:type="dxa" w:w="6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Bew.</w:t>
            </w:r>
          </w:p>
        </w:tc>
        <w:tc>
          <w:tcPr>
            <w:tcW w:type="dxa" w:w="459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Korrekturvorschlag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Datensatz Q2 als Itemquelle für RAA und UTAUT2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Q2 stammt aus einem integrierten Modell (RAA + UTAUT2 + SET; Wichmann et al., 2025). Die Zuordnung zu den Einzeltheorien habe ich selbst vorgenommen und nicht offengelegt.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Zuordnung explizit über Tab. 1 in Wichmann et al. (2025) begründen. Q2 als „integriertes Modell“ kennzeichnen.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A2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H5–H7 (UTAUT2) → INT1–INT3 (RAA)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UTAUT2-Konstrukte sagen hier eine RAA-Nutzungsabsicht vorher. Die Theorien werden also auf Hypothesenebene vermischt.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 Theorie ein eigenes Kriterium festlegen. Alternativ das Modell offen als „integriertes Modell nach Wichmann et al. (2025)“ deklarieren.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A3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H6: PEOU (UTAUT2) → PBC (RAA)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Diese Hypothese ist nur im integrierten Modell begründet und nicht innerhalb einer Einzeltheorie.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H6 auf PEOU → INT beschränken oder als Brückenhypothese kennzeichnen.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A4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Definitionen von PBC und INT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Definitionen stammen aus Wichmann et al. (2024, Gesundheitskontext), die Items aus Q2 (Wichmann et al., 2025). Definition und Itemquelle fallen auseinander.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Definitionen aus derselben Quelle wie die Items nehmen, also aus Wichmann et al. (2025), Tab. 1.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A5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PBC3 „Ich bin überzeugt, dass ich Copilot nutzen kann.“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 Item ist inhaltlich näher an Selbstwirksamkeit (SET) als an Verhaltenskontrolle. Wichmann et al. (2025) beschreiben beide Konstrukte als konzeptionell ähnlich.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konstruktnah zu SET kennzeichnen oder durch ein reines Kontroll-Item aus Q2 ersetzen (PBC1, PBC2, PBC4 reichen aus).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A6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INT-T (Vertrauensmodell)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Laut Do Khac et al. (2025) stammen die Intention-Items aus Ajzen &amp; Fishbein (1975). Sie sind also TRA-basiert und kein Bestandteil des Vertrauensmodells. Dadurch entsteht zusätzlich die Redundanz zu INT.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Herkunft offenlegen. Für die Hausarbeit zwischen zwei Optionen entscheiden: (a) eine gemeinsame Absichtsskala als Brücke oder (b) das Vertrauensmodell endet bei TRU.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A7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H15: MAILS-ER → ATAI-FEAR; FEAR1 unter H15 und H17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Eine theorieübergreifende Hypothese verbindet zwei Instrumente.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H15 als Zusammenhang innerhalb von MAILS formulieren oder offen als Brücke zwischen den Instrumenten kennzeichnen. FEAR1 nur H17 zuordnen.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A8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H12–H14: abhängige Variable „Akzeptanz von KI“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Carolus et al. (2023) korrelierten mit acceptance of new technology und Einstellungsmaßen, nicht mit ATAI. Der Begriff suggeriert eine ATAI-Verknüpfung.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Präzisieren: „…korreliert positiv mit der Akzeptanz neuer Technologien und einer positiven Einstellung zu KI (Carolus et al., 2023)“. Kein ATAI-Bezug.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A9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ATAI und MAILS als „Theorie“ geführt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Beide sind Messinstrumente, keine Theorien. MAILS stützt sich auf Bloom (1956), Ng et al. (2021) und TPB. ATAI hat keine explizite Theorie; Sindermann et al. (2021) verweisen nur als Ausblick auf TAM.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Spalte „Theorie“ in „Theorie/Instrument“ umbenennen. Die theoretische Basis je Instrument offen benennen.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A10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H16/H17: Kriterium „Bereitschaft, KI zu nutzen“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Für diese Variable enthält der Fragebogen keine Items. Das Kriterium ist nicht operationalisiert.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Kriterium benennen und eine Itemquelle festlegen, ohne Items aus anderen Theorien zu übernehmen. Alternativ H16/H17 als Validierungsbefund der Quelle formulieren und nicht als Fallhypothese.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B. Double-Barreled-Items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2626"/>
        <w:gridCol w:w="4464"/>
        <w:gridCol w:w="656"/>
        <w:gridCol w:w="4597"/>
      </w:tblGrid>
      <w:tr>
        <w:trPr>
          <w:tblHeader/>
        </w:trPr>
        <w:tc>
          <w:tcPr>
            <w:tcW w:type="dxa" w:w="78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6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Fundstelle</w:t>
            </w:r>
          </w:p>
        </w:tc>
        <w:tc>
          <w:tcPr>
            <w:tcW w:type="dxa" w:w="44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Befund</w:t>
            </w:r>
          </w:p>
        </w:tc>
        <w:tc>
          <w:tcPr>
            <w:tcW w:type="dxa" w:w="6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Bew.</w:t>
            </w:r>
          </w:p>
        </w:tc>
        <w:tc>
          <w:tcPr>
            <w:tcW w:type="dxa" w:w="459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Korrekturvorschlag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TRU3, KU3, SE3, ER1, ER2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Erkannt und korrigiert. Die Korrekturen stehen jedoch nur in der Selbstprüfung, nicht in der Hauptitemtabelle.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Nur die korrigierte Fassung in den finalen Fragebogen übernehmen. Das Original kommt in eine separate Spalte.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B2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TRU4 „kritische Aufgaben ohne Kontrolle an Copilot geben“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der Selbstprüfung als unproblematisch bewertet. Das Item enthält aber zwei Bedingungen: Kritikalität und Kontrollverzicht.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„Ich fühle mich wohl dabei, Aufgaben ohne Kontrolle an Copilot zu geben.“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B3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UA2 „KI sinnvoll einsetzen, um meine Ziele zu erreichen“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 Item verbindet eine Qualitätswertung mit einem Zielbezug.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Beibehalten (Originalitem), aber in der Selbstprüfung dokumentieren.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B4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ER1/ER2 nach der Korrektur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Aufteilung verschiebt den Konstruktinhalt: ER1 erfasst nur noch Frustration, ER2 nur noch Angst.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der Hausarbeit dokumentieren, dass die Aufteilung die Inhaltsvalidität gegenüber dem Original verändert.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C. Suggestivfragen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2626"/>
        <w:gridCol w:w="4464"/>
        <w:gridCol w:w="656"/>
        <w:gridCol w:w="4597"/>
      </w:tblGrid>
      <w:tr>
        <w:trPr>
          <w:tblHeader/>
        </w:trPr>
        <w:tc>
          <w:tcPr>
            <w:tcW w:type="dxa" w:w="78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6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Fundstelle</w:t>
            </w:r>
          </w:p>
        </w:tc>
        <w:tc>
          <w:tcPr>
            <w:tcW w:type="dxa" w:w="44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Befund</w:t>
            </w:r>
          </w:p>
        </w:tc>
        <w:tc>
          <w:tcPr>
            <w:tcW w:type="dxa" w:w="6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Bew.</w:t>
            </w:r>
          </w:p>
        </w:tc>
        <w:tc>
          <w:tcPr>
            <w:tcW w:type="dxa" w:w="459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Korrekturvorschlag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C1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ER3 „…Euphorie kontrollieren, die bei der Nutzung entsteht“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 Item unterstellt, dass Euphorie entsteht (Präsupposition). Das wurde nicht erkannt.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„Ich kann meine Euphorie bei der Nutzung von KI kontrollieren.“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C2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PBC4 „Wenn ich wirklich will…“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Verstärkung legt Zustimmung nahe.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Originalitem; beibehalten und dokumentieren.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C3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Blöcke RAA, UTAUT2, MAILS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Fast alle Items sind positiv formuliert. Das Risiko von Zustimmungstendenz wurde nicht angesprochen. [Modellwissen]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 der Hausarbeit als Limitation nennen. Keine neuen Gegenitems erfinden.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C4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FEAR2 „wird die Menschheit zerstören“, ACC2 „Bereicherung“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Beide Formulierungen sind wertend bzw. drastisch, aber validiert. Die Entscheidung zum Beibehalten ist richtig, aber nur für FEAR2 begründet.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Für ACC2 ebenfalls dokumentieren: Originalwortlaut beibehalten wegen der Validierung.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C5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INTEG3 „zu viele Informationen“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Wertung bleibt, ist aber Konstruktinhalt.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Keine Änderung; umpolen.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C6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Gegenannahme zu H3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Erklärung von Wichmann et al. (2025) zum Energiekontext wurde ohne Kennzeichnung auf Copilot übertragen. Die Begründung lenkt damit in eine Richtung.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Als Übertragung kennzeichnen: „…analog zu Wichmann et al. (2025); Übertragung auf Copilot [eigene Annahme]“.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D. Fehlende Quellenangaben / Kennzeichnung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7"/>
        <w:gridCol w:w="2626"/>
        <w:gridCol w:w="4464"/>
        <w:gridCol w:w="656"/>
        <w:gridCol w:w="4597"/>
      </w:tblGrid>
      <w:tr>
        <w:trPr>
          <w:tblHeader/>
        </w:trPr>
        <w:tc>
          <w:tcPr>
            <w:tcW w:type="dxa" w:w="78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Nr.</w:t>
            </w:r>
          </w:p>
        </w:tc>
        <w:tc>
          <w:tcPr>
            <w:tcW w:type="dxa" w:w="262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Fundstelle</w:t>
            </w:r>
          </w:p>
        </w:tc>
        <w:tc>
          <w:tcPr>
            <w:tcW w:type="dxa" w:w="4464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Befund</w:t>
            </w:r>
          </w:p>
        </w:tc>
        <w:tc>
          <w:tcPr>
            <w:tcW w:type="dxa" w:w="656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Bew.</w:t>
            </w:r>
          </w:p>
        </w:tc>
        <w:tc>
          <w:tcPr>
            <w:tcW w:type="dxa" w:w="4597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Korrekturvorschlag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D1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Zuordnung Datensatz Q2 → Wichmann et al. (2025), Q4 → Do Khac et al. (2025)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Zuordnung ist belegbar („PowerPilot“ in Paper 2; Item-IDs X/U/D/T/I in Paper 4), wurde aber nicht ausgewiesen.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Mapping-Zeile ergänzen: „Q2 = PowerPilot (Wichmann et al., 2025); Q4 = Do Khac et al. (2025), Appendix“.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Übersetzte Items aus Q2 und MAILS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Übersetzungen ins Deutsche sind nicht als Adaption gekennzeichnet. Nur Q4 und ATAI liegen im Original auf Deutsch vor.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Neues Kennzeichen „(Ü) = eigene Übersetzung“ für alle Items aus Q2 und MAILS.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D3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PU1, PU2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Adaptionen „Energie sparen → Arbeitszeit sparen“ und „Stromrechnung senken → Arbeitsaufwand verringern“ verändern den Inhalt stark. Das grenzt an ein erfundenes Item.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Offen als inhaltliche Neuformulierung kennzeichnen oder PU auf PU3 reduzieren. Die Abweichung von der 3-Items-Vorgabe wird dann dokumentiert.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Selbstprüfung: „unmenschlich = grausam“, Normwerte nicht vergleichbar, Kontextfit von PN3, Zielkonflikt Validität vs. Regel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 ist Modellwissen bzw. eigene Bewertung ohne Kennzeichnung.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●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Jeweils mit [Modellwissen] bzw. [eigene Bewertung] kennzeichnen.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D5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H4 „…nach Einführung häufiger genutzt“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Quelle belegt nur Absicht → Verhalten. Der Bezug auf die Einführung ist eine Erweiterung.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Formulieren: „…Nutzungsabsicht als Prädiktor der Nutzung (Wichmann et al., 2024)“.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D6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Literaturverzeichnis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Wichmann et al. (2024) ist unvollständig (Titel, Autoren). Bei Do Khac et al. (2025) fehlen Jahrgang und Seiten, bei Wichmann et al. (2025) die Seitenangabe (ab S. 961).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◐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Aus den PDFs ergänzen.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D7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Sekundärzitate (Mayer et al., 1995; Fishbein &amp; Ajzen, 2010; Venkatesh et al., 2012; Bloom, 1956; Ng et al., 2021)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Sie sind korrekt mit „zit. n.“ angegeben. Bloom und Ng tragen aber den Zusatz in der Theorietabelle nicht.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„zit. n. Carolus et al., 2023“ ergänzen.</w:t>
            </w:r>
          </w:p>
        </w:tc>
      </w:tr>
      <w:tr>
        <w:tc>
          <w:tcPr>
            <w:tcW w:type="dxa" w:w="78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D8</w:t>
            </w:r>
          </w:p>
        </w:tc>
        <w:tc>
          <w:tcPr>
            <w:tcW w:type="dxa" w:w="26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Readiness-Raster (Können/Wollen/Vertrauen/Fühlen)</w:t>
            </w:r>
          </w:p>
        </w:tc>
        <w:tc>
          <w:tcPr>
            <w:tcW w:type="dxa" w:w="44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 ist eine eigene Idee ohne Kennzeichnung.</w:t>
            </w:r>
          </w:p>
        </w:tc>
        <w:tc>
          <w:tcPr>
            <w:tcW w:type="dxa" w:w="6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○</w:t>
            </w:r>
          </w:p>
        </w:tc>
        <w:tc>
          <w:tcPr>
            <w:tcW w:type="dxa" w:w="45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 [eigene Konzeption] kennzeichnen. In der Hausarbeit ist das ein Kreativitätsbeitrag.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Zusammenfassung für die Evaluation (DSR)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1575"/>
        <w:gridCol w:w="1313"/>
        <w:gridCol w:w="1313"/>
        <w:gridCol w:w="1313"/>
        <w:gridCol w:w="4728"/>
      </w:tblGrid>
      <w:tr>
        <w:trPr>
          <w:tblHeader/>
        </w:trPr>
        <w:tc>
          <w:tcPr>
            <w:tcW w:type="dxa" w:w="288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Kriterium</w:t>
            </w:r>
          </w:p>
        </w:tc>
        <w:tc>
          <w:tcPr>
            <w:tcW w:type="dxa" w:w="1575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Fehler gesamt</w:t>
            </w:r>
          </w:p>
        </w:tc>
        <w:tc>
          <w:tcPr>
            <w:tcW w:type="dxa" w:w="1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● schwer</w:t>
            </w:r>
          </w:p>
        </w:tc>
        <w:tc>
          <w:tcPr>
            <w:tcW w:type="dxa" w:w="1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◐ mittel</w:t>
            </w:r>
          </w:p>
        </w:tc>
        <w:tc>
          <w:tcPr>
            <w:tcW w:type="dxa" w:w="1313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○ gering</w:t>
            </w:r>
          </w:p>
        </w:tc>
        <w:tc>
          <w:tcPr>
            <w:tcW w:type="dxa" w:w="4728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 Selbstprüfung erkannt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Theorievermischung</w:t>
            </w:r>
          </w:p>
        </w:tc>
        <w:tc>
          <w:tcPr>
            <w:tcW w:type="dxa" w:w="1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4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 von 10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Double-Barreled-Items</w:t>
            </w:r>
          </w:p>
        </w:tc>
        <w:tc>
          <w:tcPr>
            <w:tcW w:type="dxa" w:w="1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von 4 (B1, mit Mangel in der Umsetzung)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Suggestivfragen</w:t>
            </w:r>
          </w:p>
        </w:tc>
        <w:tc>
          <w:tcPr>
            <w:tcW w:type="dxa" w:w="1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0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von 6 (C4, C5)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Fehlende Quellenangabe</w:t>
            </w:r>
          </w:p>
        </w:tc>
        <w:tc>
          <w:tcPr>
            <w:tcW w:type="dxa" w:w="1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von 8 (D6)</w:t>
            </w:r>
          </w:p>
        </w:tc>
      </w:tr>
      <w:tr>
        <w:tc>
          <w:tcPr>
            <w:tcW w:type="dxa" w:w="28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Summe</w:t>
            </w:r>
          </w:p>
        </w:tc>
        <w:tc>
          <w:tcPr>
            <w:tcW w:type="dxa" w:w="157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28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</w:t>
            </w:r>
          </w:p>
        </w:tc>
        <w:tc>
          <w:tcPr>
            <w:tcW w:type="dxa" w:w="1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7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 von 28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Kernbefund: </w:t>
      </w:r>
      <w:r>
        <w:rPr>
          <w:rFonts w:ascii="Calibri" w:cs="Calibri" w:eastAsia="Calibri" w:hAnsi="Calibri"/>
          <w:sz w:val="21"/>
          <w:szCs w:val="21"/>
        </w:rPr>
        <w:t xml:space="preserve">Die Selbstprüfung des Prompts erkennt fast nur Fehler auf Itemebene. Theorievermischung entsteht vor allem auf Hypothesenebene und durch integrierte Quellmodelle. Diese Ebene prüft der Prompt nicht.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Ableitungen für Master-Prompt Version B</w:t>
      </w:r>
    </w:p>
    <w:tbl>
      <w:tblPr>
        <w:tblW w:type="dxa" w:w="1313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9"/>
        <w:gridCol w:w="11161"/>
      </w:tblGrid>
      <w:tr>
        <w:trPr>
          <w:tblHeader/>
        </w:trPr>
        <w:tc>
          <w:tcPr>
            <w:tcW w:type="dxa" w:w="1969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1161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Neue Prompt-Regel</w:t>
            </w:r>
          </w:p>
        </w:tc>
      </w:tr>
      <w:tr>
        <w:tc>
          <w:tcPr>
            <w:tcW w:type="dxa" w:w="19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A1–A10</w:t>
            </w:r>
          </w:p>
        </w:tc>
        <w:tc>
          <w:tcPr>
            <w:tcW w:type="dxa" w:w="1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„Prüfe Theorievermischung auf drei Ebenen: Items, Definitionen, Hypothesen. Prädiktor und Kriterium müssen aus derselben Theorie stammen. Brückenhypothesen nur mit Kennzeichnung.“</w:t>
            </w:r>
          </w:p>
        </w:tc>
      </w:tr>
      <w:tr>
        <w:tc>
          <w:tcPr>
            <w:tcW w:type="dxa" w:w="19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A1, A9</w:t>
            </w:r>
          </w:p>
        </w:tc>
        <w:tc>
          <w:tcPr>
            <w:tcW w:type="dxa" w:w="1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„Kennzeichne integrierte Modelle und Messinstrumente als solche und nenne deren Theoriebasis.“</w:t>
            </w:r>
          </w:p>
        </w:tc>
      </w:tr>
      <w:tr>
        <w:tc>
          <w:tcPr>
            <w:tcW w:type="dxa" w:w="19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B1</w:t>
            </w:r>
          </w:p>
        </w:tc>
        <w:tc>
          <w:tcPr>
            <w:tcW w:type="dxa" w:w="1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„Gib im finalen Fragebogen nur korrigierte Items aus. Originale stehen in einer separaten Spalte.“</w:t>
            </w:r>
          </w:p>
        </w:tc>
      </w:tr>
      <w:tr>
        <w:tc>
          <w:tcPr>
            <w:tcW w:type="dxa" w:w="19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C1</w:t>
            </w:r>
          </w:p>
        </w:tc>
        <w:tc>
          <w:tcPr>
            <w:tcW w:type="dxa" w:w="1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„Prüfe jedes Item zusätzlich auf Präsuppositionen (unterstellte Sachverhalte).“</w:t>
            </w:r>
          </w:p>
        </w:tc>
      </w:tr>
      <w:tr>
        <w:tc>
          <w:tcPr>
            <w:tcW w:type="dxa" w:w="19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D2, D3</w:t>
            </w:r>
          </w:p>
        </w:tc>
        <w:tc>
          <w:tcPr>
            <w:tcW w:type="dxa" w:w="1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„Spalte ‚Adaption‘: Ü = Übersetzung, K = Kontext, I = Inhalt. Inhaltliche Adaption nur mit Begründung.“</w:t>
            </w:r>
          </w:p>
        </w:tc>
      </w:tr>
      <w:tr>
        <w:tc>
          <w:tcPr>
            <w:tcW w:type="dxa" w:w="19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D4</w:t>
            </w:r>
          </w:p>
        </w:tc>
        <w:tc>
          <w:tcPr>
            <w:tcW w:type="dxa" w:w="1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„Kennzeichne jede Aussage ohne Quellenbeleg, auch in der Selbstprüfung.“</w:t>
            </w:r>
          </w:p>
        </w:tc>
      </w:tr>
      <w:tr>
        <w:tc>
          <w:tcPr>
            <w:tcW w:type="dxa" w:w="196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Gesamt</w:t>
            </w:r>
          </w:p>
        </w:tc>
        <w:tc>
          <w:tcPr>
            <w:tcW w:type="dxa" w:w="111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 Selbstprüfung durch ein zweites Modell ausführen lassen (Kritikerrolle). In Lauf 1 hat die Selbstprüfung nur 4 von 28 Fehlern erkannt (14 %).</w:t>
            </w:r>
          </w:p>
        </w:tc>
      </w:tr>
    </w:tbl>
    <w:sectPr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2026-10-14T14:18:26.784Z</dcterms:created>
  <dcterms:modified xsi:type="dcterms:W3CDTF">2026-10-14T14:18:26.784Z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