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Calibri" w:hAnsi="Calibri"/>
          <w:b/>
          <w:color w:val="1B365D"/>
          <w:sz w:val="40"/>
        </w:rPr>
        <w:t>Methodisches Gesamtdokument: KI-Readiness-Fragebogen &amp; Quelleninventar</w:t>
      </w:r>
    </w:p>
    <w:p>
      <w:pPr>
        <w:spacing w:after="280"/>
      </w:pPr>
      <w:r>
        <w:rPr>
          <w:rFonts w:ascii="Calibri" w:hAnsi="Calibri"/>
          <w:i/>
          <w:color w:val="008080"/>
          <w:sz w:val="24"/>
        </w:rPr>
        <w:t>Erfassung der Bereitschaft von Beschäftigten ohne KI-Fachausbildung vor der Einführung von Microsoft Copilot (Pre-Adoption)</w:t>
      </w:r>
    </w:p>
    <w:p>
      <w:pPr>
        <w:spacing w:before="120" w:after="280"/>
      </w:pPr>
      <w:r>
        <w:rPr>
          <w:rFonts w:ascii="Calibri" w:hAnsi="Calibri"/>
          <w:sz w:val="18"/>
        </w:rPr>
        <w:t>Fall-Parameter:</w:t>
        <w:br/>
        <w:t>• Technologie: Microsoft Copilot (Office 365 Assistenzfunktion)</w:t>
        <w:br/>
        <w:t>• Zielgruppe: Beschäftigte ohne KI-Fachausbildung (Büro-Arbeitskontext)</w:t>
        <w:br/>
        <w:t>• Phase: Vor der Einführung (Pre-Adoption / Erwartungshaltung)</w:t>
        <w:br/>
        <w:t>• Untersuchungsziel: KI-Readiness-Profil über 5 theoretische Dimensionen</w:t>
        <w:br/>
        <w:t>• Einsatzfelder: Texte entwerfen, zusammenfassen, Daten auswerten, Abläufe planen</w:t>
        <w:br/>
        <w:t>• Befragungssprache: Deutsch</w:t>
        <w:br/>
        <w:t>• Methodisches Regelwerk: Strikte Quellentreue (Regeln 1–12), lückenlose Inventarführung, Belegzitatpflicht.</w:t>
      </w:r>
    </w:p>
    <w:p/>
    <w:p>
      <w:pPr>
        <w:keepNext/>
        <w:spacing w:before="280" w:after="120"/>
      </w:pPr>
      <w:r>
        <w:rPr>
          <w:rFonts w:ascii="Calibri" w:hAnsi="Calibri"/>
          <w:b/>
          <w:color w:val="1B365D"/>
          <w:sz w:val="32"/>
        </w:rPr>
        <w:t>Teil I: Quelleninventar &amp; Methodische Voranalyse</w:t>
      </w:r>
    </w:p>
    <w:p>
      <w:pPr>
        <w:keepNext/>
        <w:spacing w:before="240" w:after="80"/>
      </w:pPr>
      <w:r>
        <w:rPr>
          <w:rFonts w:ascii="Calibri" w:hAnsi="Calibri"/>
          <w:b/>
          <w:color w:val="008080"/>
          <w:sz w:val="26"/>
        </w:rPr>
        <w:t>1a Formatanalyse</w:t>
      </w:r>
    </w:p>
    <w:p>
      <w:r>
        <w:t>In den bereitgestellten Projektquellen liegen insgesamt 9 Dokumente/Quellen vor (D1, P1, P2, P3, P4, P5, S1a, S1b, S2). Alle Dokumente wurden auf den Typ, die bibliografischen Angaben laut Titelseite/Kopfzeile, Stichprobenmerkmale, Technologie- und Phasenspezifikationen sowie das Vorhandensein wörtlicher Items, Skalen, Kennwerte, Hypothesen und Messverfahren geprüft.</w:t>
      </w:r>
    </w:p>
    <w:tbl>
      <w:tblPr>
        <w:tblW w:type="auto" w:w="0"/>
        <w:jc w:val="center"/>
        <w:tblLayout w:type="fixed"/>
        <w:tblLook w:firstColumn="1" w:firstRow="1" w:lastColumn="0" w:lastRow="0" w:noHBand="0" w:noVBand="1" w:val="04A0"/>
      </w:tblPr>
      <w:tblGrid>
        <w:gridCol w:w="764"/>
        <w:gridCol w:w="764"/>
        <w:gridCol w:w="764"/>
        <w:gridCol w:w="764"/>
        <w:gridCol w:w="764"/>
        <w:gridCol w:w="764"/>
        <w:gridCol w:w="764"/>
        <w:gridCol w:w="764"/>
        <w:gridCol w:w="764"/>
        <w:gridCol w:w="764"/>
        <w:gridCol w:w="764"/>
        <w:gridCol w:w="764"/>
        <w:gridCol w:w="764"/>
      </w:tblGrid>
      <w:tr>
        <w:trPr>
          <w:tblHeader/>
        </w:trPr>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Kürzel</w:t>
            </w:r>
          </w:p>
        </w:tc>
        <w:tc>
          <w:tcPr>
            <w:tcW w:type="dxa" w:w="864"/>
            <w:shd w:fill="1B365D" w:val="clear"/>
            <w:tcMar>
              <w:top w:w="100" w:type="dxa"/>
              <w:bottom w:w="100" w:type="dxa"/>
              <w:left w:w="80" w:type="dxa"/>
              <w:right w:w="80" w:type="dxa"/>
            </w:tcMar>
          </w:tcPr>
          <w:p>
            <w:pPr>
              <w:spacing w:after="40" w:before="40"/>
              <w:jc w:val="center"/>
            </w:pPr>
            <w:r>
              <w:rPr>
                <w:rFonts w:ascii="Calibri" w:hAnsi="Calibri"/>
                <w:b/>
                <w:color w:val="FFFFFF"/>
                <w:sz w:val="17"/>
              </w:rPr>
              <w:t>Dokumenttyp</w:t>
            </w:r>
          </w:p>
        </w:tc>
        <w:tc>
          <w:tcPr>
            <w:tcW w:type="dxa" w:w="720"/>
            <w:shd w:fill="1B365D" w:val="clear"/>
            <w:tcMar>
              <w:top w:w="100" w:type="dxa"/>
              <w:bottom w:w="100" w:type="dxa"/>
              <w:left w:w="80" w:type="dxa"/>
              <w:right w:w="80" w:type="dxa"/>
            </w:tcMar>
          </w:tcPr>
          <w:p>
            <w:pPr>
              <w:spacing w:after="40" w:before="40"/>
              <w:jc w:val="center"/>
            </w:pPr>
            <w:r>
              <w:rPr>
                <w:rFonts w:ascii="Calibri" w:hAnsi="Calibri"/>
                <w:b/>
                <w:color w:val="FFFFFF"/>
                <w:sz w:val="17"/>
              </w:rPr>
              <w:t>Zugehörige Quelle</w:t>
            </w:r>
          </w:p>
        </w:tc>
        <w:tc>
          <w:tcPr>
            <w:tcW w:type="dxa" w:w="1728"/>
            <w:shd w:fill="1B365D" w:val="clear"/>
            <w:tcMar>
              <w:top w:w="100" w:type="dxa"/>
              <w:bottom w:w="100" w:type="dxa"/>
              <w:left w:w="80" w:type="dxa"/>
              <w:right w:w="80" w:type="dxa"/>
            </w:tcMar>
          </w:tcPr>
          <w:p>
            <w:pPr>
              <w:spacing w:after="40" w:before="40"/>
              <w:jc w:val="center"/>
            </w:pPr>
            <w:r>
              <w:rPr>
                <w:rFonts w:ascii="Calibri" w:hAnsi="Calibri"/>
                <w:b/>
                <w:color w:val="FFFFFF"/>
                <w:sz w:val="17"/>
              </w:rPr>
              <w:t>Bibliografie (Regel 2)</w:t>
            </w:r>
          </w:p>
        </w:tc>
        <w:tc>
          <w:tcPr>
            <w:tcW w:type="dxa" w:w="864"/>
            <w:shd w:fill="1B365D" w:val="clear"/>
            <w:tcMar>
              <w:top w:w="100" w:type="dxa"/>
              <w:bottom w:w="100" w:type="dxa"/>
              <w:left w:w="80" w:type="dxa"/>
              <w:right w:w="80" w:type="dxa"/>
            </w:tcMar>
          </w:tcPr>
          <w:p>
            <w:pPr>
              <w:spacing w:after="40" w:before="40"/>
              <w:jc w:val="center"/>
            </w:pPr>
            <w:r>
              <w:rPr>
                <w:rFonts w:ascii="Calibri" w:hAnsi="Calibri"/>
                <w:b/>
                <w:color w:val="FFFFFF"/>
                <w:sz w:val="17"/>
              </w:rPr>
              <w:t>Stichprobe</w:t>
            </w:r>
          </w:p>
        </w:tc>
        <w:tc>
          <w:tcPr>
            <w:tcW w:type="dxa" w:w="864"/>
            <w:shd w:fill="1B365D" w:val="clear"/>
            <w:tcMar>
              <w:top w:w="100" w:type="dxa"/>
              <w:bottom w:w="100" w:type="dxa"/>
              <w:left w:w="80" w:type="dxa"/>
              <w:right w:w="80" w:type="dxa"/>
            </w:tcMar>
          </w:tcPr>
          <w:p>
            <w:pPr>
              <w:spacing w:after="40" w:before="40"/>
              <w:jc w:val="center"/>
            </w:pPr>
            <w:r>
              <w:rPr>
                <w:rFonts w:ascii="Calibri" w:hAnsi="Calibri"/>
                <w:b/>
                <w:color w:val="FFFFFF"/>
                <w:sz w:val="17"/>
              </w:rPr>
              <w:t>Technologie</w:t>
            </w:r>
          </w:p>
        </w:tc>
        <w:tc>
          <w:tcPr>
            <w:tcW w:type="dxa" w:w="720"/>
            <w:shd w:fill="1B365D" w:val="clear"/>
            <w:tcMar>
              <w:top w:w="100" w:type="dxa"/>
              <w:bottom w:w="100" w:type="dxa"/>
              <w:left w:w="80" w:type="dxa"/>
              <w:right w:w="80" w:type="dxa"/>
            </w:tcMar>
          </w:tcPr>
          <w:p>
            <w:pPr>
              <w:spacing w:after="40" w:before="40"/>
              <w:jc w:val="center"/>
            </w:pPr>
            <w:r>
              <w:rPr>
                <w:rFonts w:ascii="Calibri" w:hAnsi="Calibri"/>
                <w:b/>
                <w:color w:val="FFFFFF"/>
                <w:sz w:val="17"/>
              </w:rPr>
              <w:t>Phase</w:t>
            </w:r>
          </w:p>
        </w:tc>
        <w:tc>
          <w:tcPr>
            <w:tcW w:type="dxa" w:w="720"/>
            <w:shd w:fill="1B365D" w:val="clear"/>
            <w:tcMar>
              <w:top w:w="100" w:type="dxa"/>
              <w:bottom w:w="100" w:type="dxa"/>
              <w:left w:w="80" w:type="dxa"/>
              <w:right w:w="80" w:type="dxa"/>
            </w:tcMar>
          </w:tcPr>
          <w:p>
            <w:pPr>
              <w:spacing w:after="40" w:before="40"/>
              <w:jc w:val="center"/>
            </w:pPr>
            <w:r>
              <w:rPr>
                <w:rFonts w:ascii="Calibri" w:hAnsi="Calibri"/>
                <w:b/>
                <w:color w:val="FFFFFF"/>
                <w:sz w:val="17"/>
              </w:rPr>
              <w:t>Konstrukte</w:t>
            </w:r>
          </w:p>
        </w:tc>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Items wörtlich</w:t>
            </w:r>
          </w:p>
        </w:tc>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Skala</w:t>
            </w:r>
          </w:p>
        </w:tc>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Kennwerte</w:t>
            </w:r>
          </w:p>
        </w:tc>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Hypothesen</w:t>
            </w:r>
          </w:p>
        </w:tc>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Messverfahren</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D1</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Itemkatalog</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P1, P2, P3, P4, P5</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Autor: n. i. d. Q.; Titel: n. i. d. Q.; Jahr: n. i. d. Q.</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n. i. d. Q.</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KI, PowerPilot, VR, ChatGPT</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n. i. d. Q.</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ja (S. 1-6)</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(DE/EN)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1-6)</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1-6)</w:t>
            </w:r>
          </w:p>
        </w:tc>
      </w:tr>
      <w:tr>
        <w:trPr>
          <w:cantSplit/>
        </w:trPr>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P1</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Modellstudie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P1</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Johannes Wichmann, Tanja Sophie Gesk, Michael Leyer (2024). JMIR Formative Research, 8, e48600.</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ja (S. 7: N=693)</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ja (S. 1: AI-HIS)</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ja (S. 1: future)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ja (Tab. 1)</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7)</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8)</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6)</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7)</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Modellstudie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Johannes Wichmann, Oliver Behn, Kenan Degirmenci, Michael Leyer, Alistair Barros (2025). HICSS, 961-970.</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ja (S. 961: N=214)</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ja (S. 961: Energy App)</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ja (S. 961: adoption)</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ja (Tab. 1)</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965)</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966)</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963)</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965)</w:t>
            </w:r>
          </w:p>
        </w:tc>
      </w:tr>
      <w:tr>
        <w:trPr>
          <w:cantSplit/>
        </w:trPr>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P3</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Modellstudie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P3</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Thomas Paetow, Johannes Wichmann, Michael Leyer (2026). HICSS, 319-328.</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ja (S. 319: n=159)</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ja (S. 319: VR)</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ja (S. 319: pre-adoption)</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ja (S. 320)</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(EN)</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321)</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323)</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321)</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321)</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P4</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Modellstudie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P4</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Lilian Tai Do Khac, Michael Leyer, Johannes Wichmann, Alexander Richter (2025). EIS, 19(1-2), 2481557.</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ja (S. 1: N=500)</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ja (S. 1: genAI)</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ja (S. 1: introducing)</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ja (S. 6-8)</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(DE/EN)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9)</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10)</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6-7)</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8-9)</w:t>
            </w:r>
          </w:p>
        </w:tc>
      </w:tr>
      <w:tr>
        <w:trPr>
          <w:cantSplit/>
        </w:trPr>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P5</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Modellstudie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P5</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Johannes Wichmann, Tanja Sophie Gesk, Michael Leyer (2026). ITM, 27, 173-185.</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ja (S. 173: N=195)</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ja (S. 173: virtual meetings)</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ja (S. 173: forced isolation)</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ja (S. 178)</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(EN)</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178)</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179)</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178)</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178)</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S1a</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Itemblatt</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S1a/S1b</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Carolus, Koch, et al. (2023). Meta-Artificial Intelligence Literacy Scale. Itemblatt.</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n. i. d. Q.</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ja (S. 1: AI)</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n. i. d. Q.</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ja (S. 1-3)</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(EN)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1)</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1)</w:t>
            </w:r>
          </w:p>
        </w:tc>
      </w:tr>
      <w:tr>
        <w:trPr>
          <w:cantSplit/>
        </w:trPr>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S1b</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Validierung</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S1a/S1b</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A. Carolus, M. J. Koch, S. Straka, M. E. Latoschik, C. Wienrich (2023). CHB: AH, 1(2), 100014.</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ja (S. 1: N=300)</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ja (S. 1: AI)</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ja (S. 4: pre-use)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ja (S. 3-5)</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(DE/EN)</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6)</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7-9)</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(S. 6)</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S2</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Validierung</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S2</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Cornelia Sindermann, Peng Sha, Min Zhou, et al. (2021). KI - Künstliche Intelligenz, 35, 109-118.</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ja (S. 109: N=461 DE)</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ja (S. 109: AI)</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ja (S. 109: general attitude)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ja (S. 110)</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(DE/EN)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110)</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110)</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(S. 110)</w:t>
            </w:r>
          </w:p>
        </w:tc>
      </w:tr>
    </w:tbl>
    <w:p/>
    <w:p>
      <w:pPr>
        <w:keepNext/>
        <w:spacing w:before="240" w:after="80"/>
      </w:pPr>
      <w:r>
        <w:rPr>
          <w:rFonts w:ascii="Calibri" w:hAnsi="Calibri"/>
          <w:b/>
          <w:color w:val="008080"/>
          <w:sz w:val="26"/>
        </w:rPr>
        <w:t>1b Auswahl &amp; Dimensionszuordnung</w:t>
      </w:r>
    </w:p>
    <w:p>
      <w:r>
        <w:t>Formateignung: Alle ausgewählten Quellen (P2, P3, P4, S1a/S1b, S2) liegen im Format vollumfänglich verwertbar vor, da wörtliche Items, Antwortskalen, Messverfahren und Validierungskennwerte bzw. geprüfte Hypothesen enthalten sind.</w:t>
      </w:r>
    </w:p>
    <w:p>
      <w:pPr>
        <w:keepNext/>
        <w:spacing w:before="160" w:after="60"/>
      </w:pPr>
      <w:r>
        <w:rPr>
          <w:rFonts w:ascii="Calibri" w:hAnsi="Calibri"/>
          <w:b/>
          <w:color w:val="333333"/>
          <w:sz w:val="22"/>
        </w:rPr>
        <w:t>Abgeleitete KI-Readiness-Dimensionen [eigene Bewertung]:</w:t>
      </w:r>
    </w:p>
    <w:p>
      <w:r>
        <w:t>• Dimension 1: Vertrauen &amp; Systemtransparenz – Erfasst das Antizipieren der Systemkompetenz, der Verlässlichkeit und des vertraulichen Umgangs mit Unternehmensdaten vor der Systemeinführung [eigene Bewertung].</w:t>
      </w:r>
    </w:p>
    <w:p>
      <w:r>
        <w:t>• Dimension 2: Rationale Nutzungserwartung &amp; Einstellungen – Erfasst die antizipierte Erleichterung der Arbeit, den wahrgenommenen Nutzen und den sozialen Einfluss bezüglich der geplante Nutzung [eigene Bewertung].</w:t>
      </w:r>
    </w:p>
    <w:p>
      <w:r>
        <w:t>• Dimension 3: Aufgaben-Technologie-Passung &amp; Leistungserwartung – Erfasst die wahrgenommene Eignung des Assistenzsystems für spezifische berufsbezogene Aufgabenarten und den daraus erwarteten Leistungszuwachs [eigene Bewertung].</w:t>
      </w:r>
    </w:p>
    <w:p>
      <w:r>
        <w:t>• Dimension 4: KI-bezogene Metakompetenzen &amp; Selbstwirksamkeit – Erfasst das Zutrauen der Beschäftigten, auftretende Probleme eigenständig zu lösen und emotionale Zustände im Umgang mit KI konstruktiv zu steuern [eigene Bewertung].</w:t>
      </w:r>
    </w:p>
    <w:p>
      <w:r>
        <w:t>• Dimension 5: KI-bezogene Grundhaltung – Erfasst die allgemeine evaluative und emotionale Haltung (Akzeptanz vs. Angst) gegenüber künstlicher Intelligenz als Basiseinstellung [eigene Bewertung].</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trPr>
        <w:tc>
          <w:tcPr>
            <w:tcW w:type="dxa" w:w="864"/>
            <w:shd w:fill="1B365D" w:val="clear"/>
            <w:tcMar>
              <w:top w:w="100" w:type="dxa"/>
              <w:bottom w:w="100" w:type="dxa"/>
              <w:left w:w="80" w:type="dxa"/>
              <w:right w:w="80" w:type="dxa"/>
            </w:tcMar>
          </w:tcPr>
          <w:p>
            <w:pPr>
              <w:spacing w:after="40" w:before="40"/>
              <w:jc w:val="center"/>
            </w:pPr>
            <w:r>
              <w:rPr>
                <w:rFonts w:ascii="Calibri" w:hAnsi="Calibri"/>
                <w:b/>
                <w:color w:val="FFFFFF"/>
                <w:sz w:val="17"/>
              </w:rPr>
              <w:t>Quelle</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Entscheidung</w:t>
            </w:r>
          </w:p>
        </w:tc>
        <w:tc>
          <w:tcPr>
            <w:tcW w:type="dxa" w:w="1728"/>
            <w:shd w:fill="1B365D" w:val="clear"/>
            <w:tcMar>
              <w:top w:w="100" w:type="dxa"/>
              <w:bottom w:w="100" w:type="dxa"/>
              <w:left w:w="80" w:type="dxa"/>
              <w:right w:w="80" w:type="dxa"/>
            </w:tcMar>
          </w:tcPr>
          <w:p>
            <w:pPr>
              <w:spacing w:after="40" w:before="40"/>
              <w:jc w:val="center"/>
            </w:pPr>
            <w:r>
              <w:rPr>
                <w:rFonts w:ascii="Calibri" w:hAnsi="Calibri"/>
                <w:b/>
                <w:color w:val="FFFFFF"/>
                <w:sz w:val="17"/>
              </w:rPr>
              <w:t>Dimension(en)</w:t>
            </w:r>
          </w:p>
        </w:tc>
        <w:tc>
          <w:tcPr>
            <w:tcW w:type="dxa" w:w="1872"/>
            <w:shd w:fill="1B365D" w:val="clear"/>
            <w:tcMar>
              <w:top w:w="100" w:type="dxa"/>
              <w:bottom w:w="100" w:type="dxa"/>
              <w:left w:w="80" w:type="dxa"/>
              <w:right w:w="80" w:type="dxa"/>
            </w:tcMar>
          </w:tcPr>
          <w:p>
            <w:pPr>
              <w:spacing w:after="40" w:before="40"/>
              <w:jc w:val="center"/>
            </w:pPr>
            <w:r>
              <w:rPr>
                <w:rFonts w:ascii="Calibri" w:hAnsi="Calibri"/>
                <w:b/>
                <w:color w:val="FFFFFF"/>
                <w:sz w:val="17"/>
              </w:rPr>
              <w:t>Grund</w:t>
            </w:r>
          </w:p>
        </w:tc>
        <w:tc>
          <w:tcPr>
            <w:tcW w:type="dxa" w:w="2304"/>
            <w:shd w:fill="1B365D" w:val="clear"/>
            <w:tcMar>
              <w:top w:w="100" w:type="dxa"/>
              <w:bottom w:w="100" w:type="dxa"/>
              <w:left w:w="80" w:type="dxa"/>
              <w:right w:w="80" w:type="dxa"/>
            </w:tcMar>
          </w:tcPr>
          <w:p>
            <w:pPr>
              <w:spacing w:after="40" w:before="40"/>
              <w:jc w:val="center"/>
            </w:pPr>
            <w:r>
              <w:rPr>
                <w:rFonts w:ascii="Calibri" w:hAnsi="Calibri"/>
                <w:b/>
                <w:color w:val="FFFFFF"/>
                <w:sz w:val="17"/>
              </w:rPr>
              <w:t>Belegzitat aus 1a</w:t>
            </w:r>
          </w:p>
        </w:tc>
        <w:tc>
          <w:tcPr>
            <w:tcW w:type="dxa" w:w="2016"/>
            <w:shd w:fill="1B365D" w:val="clear"/>
            <w:tcMar>
              <w:top w:w="100" w:type="dxa"/>
              <w:bottom w:w="100" w:type="dxa"/>
              <w:left w:w="80" w:type="dxa"/>
              <w:right w:w="80" w:type="dxa"/>
            </w:tcMar>
          </w:tcPr>
          <w:p>
            <w:pPr>
              <w:spacing w:after="40" w:before="40"/>
              <w:jc w:val="center"/>
            </w:pPr>
            <w:r>
              <w:rPr>
                <w:rFonts w:ascii="Calibri" w:hAnsi="Calibri"/>
                <w:b/>
                <w:color w:val="FFFFFF"/>
                <w:sz w:val="17"/>
              </w:rPr>
              <w:t>Begründung [eigene Bewertung]</w:t>
            </w:r>
          </w:p>
        </w:tc>
      </w:tr>
      <w:tr>
        <w:trPr>
          <w:cantSplit/>
        </w:trPr>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Ausgewählt</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Dimension 1</w:t>
            </w:r>
          </w:p>
        </w:tc>
        <w:tc>
          <w:tcPr>
            <w:tcW w:type="dxa" w:w="1872"/>
            <w:shd w:fill="FFFFFF" w:val="clear"/>
            <w:tcMar>
              <w:top w:w="60" w:type="dxa"/>
              <w:bottom w:w="60" w:type="dxa"/>
              <w:left w:w="80" w:type="dxa"/>
              <w:right w:w="80" w:type="dxa"/>
            </w:tcMar>
          </w:tcPr>
          <w:p>
            <w:pPr>
              <w:spacing w:after="40" w:before="40"/>
              <w:jc w:val="left"/>
            </w:pPr>
            <w:r>
              <w:rPr>
                <w:rFonts w:ascii="Calibri" w:hAnsi="Calibri"/>
                <w:color w:val="333333"/>
                <w:sz w:val="16"/>
              </w:rPr>
              <w:t>Spezifisches Vertrauensmodell für Unternehmens-GenAI vor der Einführung.</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„focus on trust in introducing company internal generative AI applications“ (P4, S. 1)</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P4 liefert das einzige empirisch geprüfte Vertrauensmodell für generative KI im Unternehmenskontext.</w:t>
            </w:r>
          </w:p>
        </w:tc>
      </w:tr>
      <w:tr>
        <w:trPr>
          <w:cantSplit/>
        </w:trPr>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Ausgewählt</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Dimension 2</w:t>
            </w:r>
          </w:p>
        </w:tc>
        <w:tc>
          <w:tcPr>
            <w:tcW w:type="dxa" w:w="1872"/>
            <w:shd w:fill="F4F7FA" w:val="clear"/>
            <w:tcMar>
              <w:top w:w="60" w:type="dxa"/>
              <w:bottom w:w="60" w:type="dxa"/>
              <w:left w:w="80" w:type="dxa"/>
              <w:right w:w="80" w:type="dxa"/>
            </w:tcMar>
          </w:tcPr>
          <w:p>
            <w:pPr>
              <w:spacing w:after="40" w:before="40"/>
              <w:jc w:val="left"/>
            </w:pPr>
            <w:r>
              <w:rPr>
                <w:rFonts w:ascii="Calibri" w:hAnsi="Calibri"/>
                <w:color w:val="333333"/>
                <w:sz w:val="16"/>
              </w:rPr>
              <w:t>Erfassung rationaler Nutzungsabsichten und Einstellungen.</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„develop an integrated theoretical model based on... RAA, UTAUT2“ (P2, S. 961)</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P2 kombiniert RAA und UTAUT2 zur lückenlosen Messung von Nützlichkeit, Aufwand und Einstellungen.</w:t>
            </w:r>
          </w:p>
        </w:tc>
      </w:tr>
      <w:tr>
        <w:trPr>
          <w:cantSplit/>
        </w:trPr>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Ausgewählt</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Dimension 3</w:t>
            </w:r>
          </w:p>
        </w:tc>
        <w:tc>
          <w:tcPr>
            <w:tcW w:type="dxa" w:w="1872"/>
            <w:shd w:fill="FFFFFF" w:val="clear"/>
            <w:tcMar>
              <w:top w:w="60" w:type="dxa"/>
              <w:bottom w:w="60" w:type="dxa"/>
              <w:left w:w="80" w:type="dxa"/>
              <w:right w:w="80" w:type="dxa"/>
            </w:tcMar>
          </w:tcPr>
          <w:p>
            <w:pPr>
              <w:spacing w:after="40" w:before="40"/>
              <w:jc w:val="left"/>
            </w:pPr>
            <w:r>
              <w:rPr>
                <w:rFonts w:ascii="Calibri" w:hAnsi="Calibri"/>
                <w:color w:val="333333"/>
                <w:sz w:val="16"/>
              </w:rPr>
              <w:t>Eignung von Arbeitsaufgaben für neue Technologien in Pre-Adoption.</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„employs the Task-Technology Fit (TTF) model to evaluate the perceived fit... for workplace tasks“ (P3, S. 319)</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P3 bietet das einzige valide Messverfahren für Task-Technology Fit inklusive Aufgaben-Häufigkeitsfilter.</w:t>
            </w:r>
          </w:p>
        </w:tc>
      </w:tr>
      <w:tr>
        <w:trPr>
          <w:cantSplit/>
        </w:trPr>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S1a/S1b</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Ausgewählt</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Dimension 4</w:t>
            </w:r>
          </w:p>
        </w:tc>
        <w:tc>
          <w:tcPr>
            <w:tcW w:type="dxa" w:w="1872"/>
            <w:shd w:fill="F4F7FA" w:val="clear"/>
            <w:tcMar>
              <w:top w:w="60" w:type="dxa"/>
              <w:bottom w:w="60" w:type="dxa"/>
              <w:left w:w="80" w:type="dxa"/>
              <w:right w:w="80" w:type="dxa"/>
            </w:tcMar>
          </w:tcPr>
          <w:p>
            <w:pPr>
              <w:spacing w:after="40" w:before="40"/>
              <w:jc w:val="left"/>
            </w:pPr>
            <w:r>
              <w:rPr>
                <w:rFonts w:ascii="Calibri" w:hAnsi="Calibri"/>
                <w:color w:val="333333"/>
                <w:sz w:val="16"/>
              </w:rPr>
              <w:t>KI-bezogene Selbstwirksamkeit und psychologische Metakompetenzen.</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„development and testing of an AI literacy questionnaire based on... psychological change- and meta-competencies“ (S1b, S. 1)</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S1a/S1b ist die einzige validierte Skala für KI-Problem-Solving und Emotionsregulation bei Beschäftigten.</w:t>
            </w:r>
          </w:p>
        </w:tc>
      </w:tr>
      <w:tr>
        <w:trPr>
          <w:cantSplit/>
        </w:trPr>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S2</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Ausgewählt</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Dimension 5</w:t>
            </w:r>
          </w:p>
        </w:tc>
        <w:tc>
          <w:tcPr>
            <w:tcW w:type="dxa" w:w="1872"/>
            <w:shd w:fill="FFFFFF" w:val="clear"/>
            <w:tcMar>
              <w:top w:w="60" w:type="dxa"/>
              <w:bottom w:w="60" w:type="dxa"/>
              <w:left w:w="80" w:type="dxa"/>
              <w:right w:w="80" w:type="dxa"/>
            </w:tcMar>
          </w:tcPr>
          <w:p>
            <w:pPr>
              <w:spacing w:after="40" w:before="40"/>
              <w:jc w:val="left"/>
            </w:pPr>
            <w:r>
              <w:rPr>
                <w:rFonts w:ascii="Calibri" w:hAnsi="Calibri"/>
                <w:color w:val="333333"/>
                <w:sz w:val="16"/>
              </w:rPr>
              <w:t>Allgemeine Basiseinstellung gegenüber KI.</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„short measure to assess the Attitude Towards Artificial Intelligence (ATAI scale)“ (S2, S. 109)</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S2 bietet die am besten kulturenübergreifend validierte Ultrakurzskala für KI-Akzeptanz und KI-Angst.</w:t>
            </w:r>
          </w:p>
        </w:tc>
      </w:tr>
      <w:tr>
        <w:trPr>
          <w:cantSplit/>
        </w:trPr>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P1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Verworfen</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keine</w:t>
            </w:r>
          </w:p>
        </w:tc>
        <w:tc>
          <w:tcPr>
            <w:tcW w:type="dxa" w:w="1872"/>
            <w:shd w:fill="F4F7FA" w:val="clear"/>
            <w:tcMar>
              <w:top w:w="60" w:type="dxa"/>
              <w:bottom w:w="60" w:type="dxa"/>
              <w:left w:w="80" w:type="dxa"/>
              <w:right w:w="80" w:type="dxa"/>
            </w:tcMar>
          </w:tcPr>
          <w:p>
            <w:pPr>
              <w:spacing w:after="40" w:before="40"/>
              <w:jc w:val="left"/>
            </w:pPr>
            <w:r>
              <w:rPr>
                <w:rFonts w:ascii="Calibri" w:hAnsi="Calibri"/>
                <w:color w:val="333333"/>
                <w:sz w:val="16"/>
              </w:rPr>
              <w:t>Kontext ungeeignet (medizinische Behandlungsentscheidungen).</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 new HIS for decisions concerning short- and long-term medical treatments“ (P1, S. 1)</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Medizinische Krankheitsszenarien (Katarakt, Arthrose, Diabetes) passen nicht zu Büroanwendungen [eigene Bewertung].</w:t>
            </w:r>
          </w:p>
        </w:tc>
      </w:tr>
      <w:tr>
        <w:trPr>
          <w:cantSplit/>
        </w:trPr>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P5</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Verworfen</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keine</w:t>
            </w:r>
          </w:p>
        </w:tc>
        <w:tc>
          <w:tcPr>
            <w:tcW w:type="dxa" w:w="1872"/>
            <w:shd w:fill="FFFFFF" w:val="clear"/>
            <w:tcMar>
              <w:top w:w="60" w:type="dxa"/>
              <w:bottom w:w="60" w:type="dxa"/>
              <w:left w:w="80" w:type="dxa"/>
              <w:right w:w="80" w:type="dxa"/>
            </w:tcMar>
          </w:tcPr>
          <w:p>
            <w:pPr>
              <w:spacing w:after="40" w:before="40"/>
              <w:jc w:val="left"/>
            </w:pPr>
            <w:r>
              <w:rPr>
                <w:rFonts w:ascii="Calibri" w:hAnsi="Calibri"/>
                <w:color w:val="333333"/>
                <w:sz w:val="16"/>
              </w:rPr>
              <w:t>Kontext ungeeignet (Interaktionen in Videokonferenzen).</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„influence of social interaction during virtual meetings on work engagement“ (P5, S. 173)</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P5 untersucht soziotechnische Konferenzmerkmale, nicht die Akzeptanz eines generativen KI-Assistenten [eigene Bewertung].</w:t>
            </w:r>
          </w:p>
        </w:tc>
      </w:tr>
    </w:tbl>
    <w:p/>
    <w:p>
      <w:pPr>
        <w:keepNext/>
        <w:spacing w:before="240" w:after="80"/>
      </w:pPr>
      <w:r>
        <w:rPr>
          <w:rFonts w:ascii="Calibri" w:hAnsi="Calibri"/>
          <w:b/>
          <w:color w:val="008080"/>
          <w:sz w:val="26"/>
        </w:rPr>
        <w:t>1c Vollinventar (C1 bis C5 mit Inventar-IDs)</w:t>
      </w:r>
    </w:p>
    <w:p>
      <w:pPr>
        <w:keepNext/>
        <w:spacing w:before="160" w:after="60"/>
      </w:pPr>
      <w:r>
        <w:rPr>
          <w:rFonts w:ascii="Calibri" w:hAnsi="Calibri"/>
          <w:b/>
          <w:color w:val="333333"/>
          <w:sz w:val="22"/>
        </w:rPr>
        <w:t>C1 Definitionen</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Inventar-ID</w:t>
            </w:r>
          </w:p>
        </w:tc>
        <w:tc>
          <w:tcPr>
            <w:tcW w:type="dxa" w:w="1584"/>
            <w:shd w:fill="1B365D" w:val="clear"/>
            <w:tcMar>
              <w:top w:w="100" w:type="dxa"/>
              <w:bottom w:w="100" w:type="dxa"/>
              <w:left w:w="80" w:type="dxa"/>
              <w:right w:w="80" w:type="dxa"/>
            </w:tcMar>
          </w:tcPr>
          <w:p>
            <w:pPr>
              <w:spacing w:after="40" w:before="40"/>
              <w:jc w:val="center"/>
            </w:pPr>
            <w:r>
              <w:rPr>
                <w:rFonts w:ascii="Calibri" w:hAnsi="Calibri"/>
                <w:b/>
                <w:color w:val="FFFFFF"/>
                <w:sz w:val="17"/>
              </w:rPr>
              <w:t>Konstrukt</w:t>
            </w:r>
          </w:p>
        </w:tc>
        <w:tc>
          <w:tcPr>
            <w:tcW w:type="dxa" w:w="3600"/>
            <w:shd w:fill="1B365D" w:val="clear"/>
            <w:tcMar>
              <w:top w:w="100" w:type="dxa"/>
              <w:bottom w:w="100" w:type="dxa"/>
              <w:left w:w="80" w:type="dxa"/>
              <w:right w:w="80" w:type="dxa"/>
            </w:tcMar>
          </w:tcPr>
          <w:p>
            <w:pPr>
              <w:spacing w:after="40" w:before="40"/>
              <w:jc w:val="center"/>
            </w:pPr>
            <w:r>
              <w:rPr>
                <w:rFonts w:ascii="Calibri" w:hAnsi="Calibri"/>
                <w:b/>
                <w:color w:val="FFFFFF"/>
                <w:sz w:val="17"/>
              </w:rPr>
              <w:t>Definition wörtlich laut Quelle (Seite)</w:t>
            </w:r>
          </w:p>
        </w:tc>
        <w:tc>
          <w:tcPr>
            <w:tcW w:type="dxa" w:w="2448"/>
            <w:shd w:fill="1B365D" w:val="clear"/>
            <w:tcMar>
              <w:top w:w="100" w:type="dxa"/>
              <w:bottom w:w="100" w:type="dxa"/>
              <w:left w:w="80" w:type="dxa"/>
              <w:right w:w="80" w:type="dxa"/>
            </w:tcMar>
          </w:tcPr>
          <w:p>
            <w:pPr>
              <w:spacing w:after="40" w:before="40"/>
              <w:jc w:val="center"/>
            </w:pPr>
            <w:r>
              <w:rPr>
                <w:rFonts w:ascii="Calibri" w:hAnsi="Calibri"/>
                <w:b/>
                <w:color w:val="FFFFFF"/>
                <w:sz w:val="17"/>
              </w:rPr>
              <w:t>Primärwerk im Literaturverzeichnis der Quelle</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Fundstelle</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C1-P4-1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3600"/>
            <w:shd w:fill="FFFFFF" w:val="clear"/>
            <w:tcMar>
              <w:top w:w="60" w:type="dxa"/>
              <w:bottom w:w="60" w:type="dxa"/>
              <w:left w:w="80" w:type="dxa"/>
              <w:right w:w="80" w:type="dxa"/>
            </w:tcMar>
          </w:tcPr>
          <w:p>
            <w:pPr>
              <w:spacing w:after="40" w:before="40"/>
              <w:jc w:val="left"/>
            </w:pPr>
            <w:r>
              <w:rPr>
                <w:rFonts w:ascii="Calibri" w:hAnsi="Calibri"/>
                <w:color w:val="333333"/>
                <w:sz w:val="16"/>
              </w:rPr>
              <w:t>„perception how much decision makers can assess how the results are derived, i.e. whether they understand the functionality“ (P4, S. 8)</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Mayer, Davis, &amp; Schoorman (1995, zit. n. P4, S. 8, 19)</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P4, S. 8</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C1-P4-2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3600"/>
            <w:shd w:fill="F4F7FA" w:val="clear"/>
            <w:tcMar>
              <w:top w:w="60" w:type="dxa"/>
              <w:bottom w:w="60" w:type="dxa"/>
              <w:left w:w="80" w:type="dxa"/>
              <w:right w:w="80" w:type="dxa"/>
            </w:tcMar>
          </w:tcPr>
          <w:p>
            <w:pPr>
              <w:spacing w:after="40" w:before="40"/>
              <w:jc w:val="left"/>
            </w:pPr>
            <w:r>
              <w:rPr>
                <w:rFonts w:ascii="Calibri" w:hAnsi="Calibri"/>
                <w:color w:val="333333"/>
                <w:sz w:val="16"/>
              </w:rPr>
              <w:t>„focus on the integrity of the software keeping the information from usage within the respective company“ (P4, S. 8)</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Mayer, Davis, &amp; Schoorman (1995, zit. n. P4, S. 8, 19)</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P4, S. 8</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C1-P4-3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3600"/>
            <w:shd w:fill="FFFFFF" w:val="clear"/>
            <w:tcMar>
              <w:top w:w="60" w:type="dxa"/>
              <w:bottom w:w="60" w:type="dxa"/>
              <w:left w:w="80" w:type="dxa"/>
              <w:right w:w="80" w:type="dxa"/>
            </w:tcMar>
          </w:tcPr>
          <w:p>
            <w:pPr>
              <w:spacing w:after="40" w:before="40"/>
              <w:jc w:val="left"/>
            </w:pPr>
            <w:r>
              <w:rPr>
                <w:rFonts w:ascii="Calibri" w:hAnsi="Calibri"/>
                <w:color w:val="333333"/>
                <w:sz w:val="16"/>
              </w:rPr>
              <w:t>„willingness of a party to be vulnerable to the actions of another party based on the expectation that the other will perform a particular action“ (Mayer et al., 1995, S. 712, zit. n. P4, S. 4)</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Mayer, Davis, &amp; Schoorman (1995, zit. n. P4, S. 4, 19)</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P4, S. 4</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C1-P4-4</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3600"/>
            <w:shd w:fill="F4F7FA" w:val="clear"/>
            <w:tcMar>
              <w:top w:w="60" w:type="dxa"/>
              <w:bottom w:w="60" w:type="dxa"/>
              <w:left w:w="80" w:type="dxa"/>
              <w:right w:w="80" w:type="dxa"/>
            </w:tcMar>
          </w:tcPr>
          <w:p>
            <w:pPr>
              <w:spacing w:after="40" w:before="40"/>
              <w:jc w:val="left"/>
            </w:pPr>
            <w:r>
              <w:rPr>
                <w:rFonts w:ascii="Calibri" w:hAnsi="Calibri"/>
                <w:color w:val="333333"/>
                <w:sz w:val="16"/>
              </w:rPr>
              <w:t>„intention to decide on using genAI in organisational contexts“ (P4, S. 8, 17)</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Ajzen &amp; Fishbein (1975, zit. n. P4, S. 8, 18)</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P4, S. 8</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C1-P2-1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Perceived ease of use</w:t>
            </w:r>
          </w:p>
        </w:tc>
        <w:tc>
          <w:tcPr>
            <w:tcW w:type="dxa" w:w="3600"/>
            <w:shd w:fill="FFFFFF" w:val="clear"/>
            <w:tcMar>
              <w:top w:w="60" w:type="dxa"/>
              <w:bottom w:w="60" w:type="dxa"/>
              <w:left w:w="80" w:type="dxa"/>
              <w:right w:w="80" w:type="dxa"/>
            </w:tcMar>
          </w:tcPr>
          <w:p>
            <w:pPr>
              <w:spacing w:after="40" w:before="40"/>
              <w:jc w:val="left"/>
            </w:pPr>
            <w:r>
              <w:rPr>
                <w:rFonts w:ascii="Calibri" w:hAnsi="Calibri"/>
                <w:color w:val="333333"/>
                <w:sz w:val="16"/>
              </w:rPr>
              <w:t>„determines a degree of which the individual thinks that it can handle the EMA easily“ (P2, S. 963, Tab. 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Venkatesh, Thong, &amp; Xu (2012, zit. n. P2, S. 963, 970)</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P2, S. 963, Tab. 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C1-P2-2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Perceived usefulness</w:t>
            </w:r>
          </w:p>
        </w:tc>
        <w:tc>
          <w:tcPr>
            <w:tcW w:type="dxa" w:w="3600"/>
            <w:shd w:fill="F4F7FA" w:val="clear"/>
            <w:tcMar>
              <w:top w:w="60" w:type="dxa"/>
              <w:bottom w:w="60" w:type="dxa"/>
              <w:left w:w="80" w:type="dxa"/>
              <w:right w:w="80" w:type="dxa"/>
            </w:tcMar>
          </w:tcPr>
          <w:p>
            <w:pPr>
              <w:spacing w:after="40" w:before="40"/>
              <w:jc w:val="left"/>
            </w:pPr>
            <w:r>
              <w:rPr>
                <w:rFonts w:ascii="Calibri" w:hAnsi="Calibri"/>
                <w:color w:val="333333"/>
                <w:sz w:val="16"/>
              </w:rPr>
              <w:t>„refers to the effectiveness of the EMA and the benefits provided to the individual“ (P2, S. 963, Tab. 1)</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Venkatesh, Thong, &amp; Xu (2012, zit. n. P2, S. 963, 970)</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P2, S. 963, Tab. 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C1-P2-3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3600"/>
            <w:shd w:fill="FFFFFF" w:val="clear"/>
            <w:tcMar>
              <w:top w:w="60" w:type="dxa"/>
              <w:bottom w:w="60" w:type="dxa"/>
              <w:left w:w="80" w:type="dxa"/>
              <w:right w:w="80" w:type="dxa"/>
            </w:tcMar>
          </w:tcPr>
          <w:p>
            <w:pPr>
              <w:spacing w:after="40" w:before="40"/>
              <w:jc w:val="left"/>
            </w:pPr>
            <w:r>
              <w:rPr>
                <w:rFonts w:ascii="Calibri" w:hAnsi="Calibri"/>
                <w:color w:val="333333"/>
                <w:sz w:val="16"/>
              </w:rPr>
              <w:t>„reflects the stance an individual has towards the EMA“ (P2, S. 963, Tab. 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Fishbein &amp; Ajzen (2010, zit. n. P2, S. 963, 969)</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P2, S. 963, Tab. 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C1-P2-4</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Perceived norms</w:t>
            </w:r>
          </w:p>
        </w:tc>
        <w:tc>
          <w:tcPr>
            <w:tcW w:type="dxa" w:w="3600"/>
            <w:shd w:fill="F4F7FA" w:val="clear"/>
            <w:tcMar>
              <w:top w:w="60" w:type="dxa"/>
              <w:bottom w:w="60" w:type="dxa"/>
              <w:left w:w="80" w:type="dxa"/>
              <w:right w:w="80" w:type="dxa"/>
            </w:tcMar>
          </w:tcPr>
          <w:p>
            <w:pPr>
              <w:spacing w:after="40" w:before="40"/>
              <w:jc w:val="left"/>
            </w:pPr>
            <w:r>
              <w:rPr>
                <w:rFonts w:ascii="Calibri" w:hAnsi="Calibri"/>
                <w:color w:val="333333"/>
                <w:sz w:val="16"/>
              </w:rPr>
              <w:t>„explain the opinion of others towards the EMA“ (P2, S. 963, Tab. 1)</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Fishbein &amp; Ajzen (2010, zit. n. P2, S. 963, 969)</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P2, S. 963, Tab. 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C1-P2-5</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3600"/>
            <w:shd w:fill="FFFFFF" w:val="clear"/>
            <w:tcMar>
              <w:top w:w="60" w:type="dxa"/>
              <w:bottom w:w="60" w:type="dxa"/>
              <w:left w:w="80" w:type="dxa"/>
              <w:right w:w="80" w:type="dxa"/>
            </w:tcMar>
          </w:tcPr>
          <w:p>
            <w:pPr>
              <w:spacing w:after="40" w:before="40"/>
              <w:jc w:val="left"/>
            </w:pPr>
            <w:r>
              <w:rPr>
                <w:rFonts w:ascii="Calibri" w:hAnsi="Calibri"/>
                <w:color w:val="333333"/>
                <w:sz w:val="16"/>
              </w:rPr>
              <w:t>„refers to an individual’s tendency about using the EMA“ (P2, S. 963, Tab. 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Fishbein &amp; Ajzen (2010; Venkatesh et al., 2012, zit. n. P2, S. 963, 969–970)</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P2, S. 963, Tab. 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C1-P3-1</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Task-Technology Fit</w:t>
            </w:r>
          </w:p>
        </w:tc>
        <w:tc>
          <w:tcPr>
            <w:tcW w:type="dxa" w:w="3600"/>
            <w:shd w:fill="F4F7FA" w:val="clear"/>
            <w:tcMar>
              <w:top w:w="60" w:type="dxa"/>
              <w:bottom w:w="60" w:type="dxa"/>
              <w:left w:w="80" w:type="dxa"/>
              <w:right w:w="80" w:type="dxa"/>
            </w:tcMar>
          </w:tcPr>
          <w:p>
            <w:pPr>
              <w:spacing w:after="40" w:before="40"/>
              <w:jc w:val="left"/>
            </w:pPr>
            <w:r>
              <w:rPr>
                <w:rFonts w:ascii="Calibri" w:hAnsi="Calibri"/>
                <w:color w:val="333333"/>
                <w:sz w:val="16"/>
              </w:rPr>
              <w:t>„posits that performance gains result from a high degree of alignment between a technology’s characteristics and specific task requirements“ (P3, S. 320)</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Goodhue &amp; Thompson (1995, zit. n. P3, S. 320, 327)</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 S. 320</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C1-P3-2</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Perceived Performance</w:t>
            </w:r>
          </w:p>
        </w:tc>
        <w:tc>
          <w:tcPr>
            <w:tcW w:type="dxa" w:w="3600"/>
            <w:shd w:fill="FFFFFF" w:val="clear"/>
            <w:tcMar>
              <w:top w:w="60" w:type="dxa"/>
              <w:bottom w:w="60" w:type="dxa"/>
              <w:left w:w="80" w:type="dxa"/>
              <w:right w:w="80" w:type="dxa"/>
            </w:tcMar>
          </w:tcPr>
          <w:p>
            <w:pPr>
              <w:spacing w:after="40" w:before="40"/>
              <w:jc w:val="left"/>
            </w:pPr>
            <w:r>
              <w:rPr>
                <w:rFonts w:ascii="Calibri" w:hAnsi="Calibri"/>
                <w:color w:val="333333"/>
                <w:sz w:val="16"/>
              </w:rPr>
              <w:t>„refers to your personal assessment of how the use of Virtual Reality might impact your work performance“ (P3, S. 321)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Goodhue &amp; Thompson (1995, zit. n. P3, S. 321, 327)</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P3, S. 321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C1-P3-3</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Behavioral Intention</w:t>
            </w:r>
          </w:p>
        </w:tc>
        <w:tc>
          <w:tcPr>
            <w:tcW w:type="dxa" w:w="3600"/>
            <w:shd w:fill="F4F7FA" w:val="clear"/>
            <w:tcMar>
              <w:top w:w="60" w:type="dxa"/>
              <w:bottom w:w="60" w:type="dxa"/>
              <w:left w:w="80" w:type="dxa"/>
              <w:right w:w="80" w:type="dxa"/>
            </w:tcMar>
          </w:tcPr>
          <w:p>
            <w:pPr>
              <w:spacing w:after="40" w:before="40"/>
              <w:jc w:val="left"/>
            </w:pPr>
            <w:r>
              <w:rPr>
                <w:rFonts w:ascii="Calibri" w:hAnsi="Calibri"/>
                <w:color w:val="333333"/>
                <w:sz w:val="16"/>
              </w:rPr>
              <w:t>„subjective intention to use the proposed technology in the workplace in the future“ (P3, S. 321)</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Venkatesh et al. (2003, zit. n. P3, S. 321, 328)</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 S. 321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C1-S1-1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3600"/>
            <w:shd w:fill="FFFFFF" w:val="clear"/>
            <w:tcMar>
              <w:top w:w="60" w:type="dxa"/>
              <w:bottom w:w="60" w:type="dxa"/>
              <w:left w:w="80" w:type="dxa"/>
              <w:right w:w="80" w:type="dxa"/>
            </w:tcMar>
          </w:tcPr>
          <w:p>
            <w:pPr>
              <w:spacing w:after="40" w:before="40"/>
              <w:jc w:val="left"/>
            </w:pPr>
            <w:r>
              <w:rPr>
                <w:rFonts w:ascii="Calibri" w:hAnsi="Calibri"/>
                <w:color w:val="333333"/>
                <w:sz w:val="16"/>
              </w:rPr>
              <w:t>„the ability to solve problems encountered while working with AI“ (S1b, S. 5)</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Ajzen (1985, zit. n. S1b, S. 5, 13)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S1b, S. 5</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C1-S1-2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AI Emotion Regulation</w:t>
            </w:r>
          </w:p>
        </w:tc>
        <w:tc>
          <w:tcPr>
            <w:tcW w:type="dxa" w:w="3600"/>
            <w:shd w:fill="F4F7FA" w:val="clear"/>
            <w:tcMar>
              <w:top w:w="60" w:type="dxa"/>
              <w:bottom w:w="60" w:type="dxa"/>
              <w:left w:w="80" w:type="dxa"/>
              <w:right w:w="80" w:type="dxa"/>
            </w:tcMar>
          </w:tcPr>
          <w:p>
            <w:pPr>
              <w:spacing w:after="40" w:before="40"/>
              <w:jc w:val="left"/>
            </w:pPr>
            <w:r>
              <w:rPr>
                <w:rFonts w:ascii="Calibri" w:hAnsi="Calibri"/>
                <w:color w:val="333333"/>
                <w:sz w:val="16"/>
              </w:rPr>
              <w:t>„the ability to manage one’s own emotions while interacting with AI“ (S1b, S. 5)</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Carolus et al. (2022, zit. n. S1b, S. 5, 13)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S1b, S. 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C1-S2-1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Acceptance</w:t>
            </w:r>
          </w:p>
        </w:tc>
        <w:tc>
          <w:tcPr>
            <w:tcW w:type="dxa" w:w="3600"/>
            <w:shd w:fill="FFFFFF" w:val="clear"/>
            <w:tcMar>
              <w:top w:w="60" w:type="dxa"/>
              <w:bottom w:w="60" w:type="dxa"/>
              <w:left w:w="80" w:type="dxa"/>
              <w:right w:w="80" w:type="dxa"/>
            </w:tcMar>
          </w:tcPr>
          <w:p>
            <w:pPr>
              <w:spacing w:after="40" w:before="40"/>
              <w:jc w:val="left"/>
            </w:pPr>
            <w:r>
              <w:rPr>
                <w:rFonts w:ascii="Calibri" w:hAnsi="Calibri"/>
                <w:color w:val="333333"/>
                <w:sz w:val="16"/>
              </w:rPr>
              <w:t>Definition n. i. d. Q.; Operationalisierung: allgemeines Vertrauen in und wahrgenommene Bereicherung durch KI</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Primärwerk (Sindermann et al., 2021)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S2, S. 109–110</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C1-S2-2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Fear</w:t>
            </w:r>
          </w:p>
        </w:tc>
        <w:tc>
          <w:tcPr>
            <w:tcW w:type="dxa" w:w="3600"/>
            <w:shd w:fill="F4F7FA" w:val="clear"/>
            <w:tcMar>
              <w:top w:w="60" w:type="dxa"/>
              <w:bottom w:w="60" w:type="dxa"/>
              <w:left w:w="80" w:type="dxa"/>
              <w:right w:w="80" w:type="dxa"/>
            </w:tcMar>
          </w:tcPr>
          <w:p>
            <w:pPr>
              <w:spacing w:after="40" w:before="40"/>
              <w:jc w:val="left"/>
            </w:pPr>
            <w:r>
              <w:rPr>
                <w:rFonts w:ascii="Calibri" w:hAnsi="Calibri"/>
                <w:color w:val="333333"/>
                <w:sz w:val="16"/>
              </w:rPr>
              <w:t>Definition n. i. d. Q.; Operationalisierung: Angst, Sorge vor Zerstörung und Massenarbeitslosigkeit durch KI</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Primärwerk (Sindermann et al., 2021)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S2, S. 109–110</w:t>
            </w:r>
          </w:p>
        </w:tc>
      </w:tr>
    </w:tbl>
    <w:p/>
    <w:p>
      <w:pPr>
        <w:keepNext/>
        <w:spacing w:before="160" w:after="60"/>
      </w:pPr>
      <w:r>
        <w:rPr>
          <w:rFonts w:ascii="Calibri" w:hAnsi="Calibri"/>
          <w:b/>
          <w:color w:val="333333"/>
          <w:sz w:val="22"/>
        </w:rPr>
        <w:t>C2 Items (wörtlicher Auszug aller relevanten Indikatoren)</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rPr>
          <w:tblHeader/>
        </w:trPr>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Inventar-ID</w:t>
            </w:r>
          </w:p>
        </w:tc>
        <w:tc>
          <w:tcPr>
            <w:tcW w:type="dxa" w:w="1296"/>
            <w:shd w:fill="1B365D" w:val="clear"/>
            <w:tcMar>
              <w:top w:w="100" w:type="dxa"/>
              <w:bottom w:w="100" w:type="dxa"/>
              <w:left w:w="80" w:type="dxa"/>
              <w:right w:w="80" w:type="dxa"/>
            </w:tcMar>
          </w:tcPr>
          <w:p>
            <w:pPr>
              <w:spacing w:after="40" w:before="40"/>
              <w:jc w:val="center"/>
            </w:pPr>
            <w:r>
              <w:rPr>
                <w:rFonts w:ascii="Calibri" w:hAnsi="Calibri"/>
                <w:b/>
                <w:color w:val="FFFFFF"/>
                <w:sz w:val="17"/>
              </w:rPr>
              <w:t>Item-ID</w:t>
            </w:r>
          </w:p>
        </w:tc>
        <w:tc>
          <w:tcPr>
            <w:tcW w:type="dxa" w:w="1584"/>
            <w:shd w:fill="1B365D" w:val="clear"/>
            <w:tcMar>
              <w:top w:w="100" w:type="dxa"/>
              <w:bottom w:w="100" w:type="dxa"/>
              <w:left w:w="80" w:type="dxa"/>
              <w:right w:w="80" w:type="dxa"/>
            </w:tcMar>
          </w:tcPr>
          <w:p>
            <w:pPr>
              <w:spacing w:after="40" w:before="40"/>
              <w:jc w:val="center"/>
            </w:pPr>
            <w:r>
              <w:rPr>
                <w:rFonts w:ascii="Calibri" w:hAnsi="Calibri"/>
                <w:b/>
                <w:color w:val="FFFFFF"/>
                <w:sz w:val="17"/>
              </w:rPr>
              <w:t>Konstrukt</w:t>
            </w:r>
          </w:p>
        </w:tc>
        <w:tc>
          <w:tcPr>
            <w:tcW w:type="dxa" w:w="2304"/>
            <w:shd w:fill="1B365D" w:val="clear"/>
            <w:tcMar>
              <w:top w:w="100" w:type="dxa"/>
              <w:bottom w:w="100" w:type="dxa"/>
              <w:left w:w="80" w:type="dxa"/>
              <w:right w:w="80" w:type="dxa"/>
            </w:tcMar>
          </w:tcPr>
          <w:p>
            <w:pPr>
              <w:spacing w:after="40" w:before="40"/>
              <w:jc w:val="center"/>
            </w:pPr>
            <w:r>
              <w:rPr>
                <w:rFonts w:ascii="Calibri" w:hAnsi="Calibri"/>
                <w:b/>
                <w:color w:val="FFFFFF"/>
                <w:sz w:val="17"/>
              </w:rPr>
              <w:t>DE wörtlich</w:t>
            </w:r>
          </w:p>
        </w:tc>
        <w:tc>
          <w:tcPr>
            <w:tcW w:type="dxa" w:w="2160"/>
            <w:shd w:fill="1B365D" w:val="clear"/>
            <w:tcMar>
              <w:top w:w="100" w:type="dxa"/>
              <w:bottom w:w="100" w:type="dxa"/>
              <w:left w:w="80" w:type="dxa"/>
              <w:right w:w="80" w:type="dxa"/>
            </w:tcMar>
          </w:tcPr>
          <w:p>
            <w:pPr>
              <w:spacing w:after="40" w:before="40"/>
              <w:jc w:val="center"/>
            </w:pPr>
            <w:r>
              <w:rPr>
                <w:rFonts w:ascii="Calibri" w:hAnsi="Calibri"/>
                <w:b/>
                <w:color w:val="FFFFFF"/>
                <w:sz w:val="17"/>
              </w:rPr>
              <w:t>EN wörtlich</w:t>
            </w:r>
          </w:p>
        </w:tc>
        <w:tc>
          <w:tcPr>
            <w:tcW w:type="dxa" w:w="720"/>
            <w:shd w:fill="1B365D" w:val="clear"/>
            <w:tcMar>
              <w:top w:w="100" w:type="dxa"/>
              <w:bottom w:w="100" w:type="dxa"/>
              <w:left w:w="80" w:type="dxa"/>
              <w:right w:w="80" w:type="dxa"/>
            </w:tcMar>
          </w:tcPr>
          <w:p>
            <w:pPr>
              <w:spacing w:after="40" w:before="40"/>
              <w:jc w:val="center"/>
            </w:pPr>
            <w:r>
              <w:rPr>
                <w:rFonts w:ascii="Calibri" w:hAnsi="Calibri"/>
                <w:b/>
                <w:color w:val="FFFFFF"/>
                <w:sz w:val="17"/>
              </w:rPr>
              <w:t>Stamm / Kontext</w:t>
            </w:r>
          </w:p>
        </w:tc>
        <w:tc>
          <w:tcPr>
            <w:tcW w:type="dxa" w:w="720"/>
            <w:shd w:fill="1B365D" w:val="clear"/>
            <w:tcMar>
              <w:top w:w="100" w:type="dxa"/>
              <w:bottom w:w="100" w:type="dxa"/>
              <w:left w:w="80" w:type="dxa"/>
              <w:right w:w="80" w:type="dxa"/>
            </w:tcMar>
          </w:tcPr>
          <w:p>
            <w:pPr>
              <w:spacing w:after="40" w:before="40"/>
              <w:jc w:val="center"/>
            </w:pPr>
            <w:r>
              <w:rPr>
                <w:rFonts w:ascii="Calibri" w:hAnsi="Calibri"/>
                <w:b/>
                <w:color w:val="FFFFFF"/>
                <w:sz w:val="17"/>
              </w:rPr>
              <w:t>Fundstelle</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C2-P4-X1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D1_Q4_X1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weiß, wie ChatGPT funktioniert.</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know how ChatGPT works.</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C2-P4-X2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D1_Q4_X2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kann nachvollziehen, wie ChatGPT zu den Ergebnissen kommt.</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can understand how ChatGPT achieves its results.</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C2-P4-X3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D1_Q4_X3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kann nachvollziehen, ob die Ergebnisse von ChatGPT richtig sind.</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can understand if the results of ChatGPT are correct.</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C2-P4-D1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D1_Q4_D1</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habe keine Bedenken, dass ChatGPT unsere internen Daten weitergibt.</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have no doubts that ChatGPT will pass our internal info...</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C2-P4-D2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D1_Q4_D2</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die Interaktionsdaten unserer Nutzung von ChatGPT sicher sind.</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think that our interaction data while using ChatGPT are safe.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C2-P4-D3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D1_Q4_D3</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ChatGPT zu viele Informationen über unser Unternehmen hat...</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think ChatGPT will have too many information about our company...</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C2-P4-T1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D1_Q4_T1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Wir sind gewillt, komplette Unternehmensprozesse an ChatGPT zu geben.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We are willing to have ChatGPT fully autonomously execute...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C2-P4-T2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D1_Q4_T2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ChatGPT bedarf menschlicher Kontrolle, daher sollte es nicht ohne...</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ChatGPT reqires control by a human and therefore it should not...</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C2-P4-T4</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D1_Q4_T4</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vertraue den Antworten von ChatGPT.</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trust the answers from ChatGPT.</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C2-P4-I1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D1_Q4_I1</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Wir beabsichtigen von jetzt an, ChatGPT einzusetzen.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We are considering from now on to use ChatGPT...</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C2-P4-I2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D1_Q4_I2</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In Zukunft beabsichtigen wir, ChatGPT einzusetzen.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In the future we are considering to use ChatGPT...</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C2-P4-I3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D1_Q4_I3</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Unsere Absichten, ChatGPT einzusetzen, sind hoch.</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Our intentions to use ChatGPT... are high.</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Vertrauen</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Q4, S. 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C2-P2-PEOU1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D1_Q2_PEOU_1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Perceived ease of use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es einfach ist, PowerPilot zu bedienen.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think it is easy to operate PowerPilot.</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UTAUT2</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Q2, S. 2</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C2-P2-PEOU2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D1_Q2_PEOU_2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Perceived ease of use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die Hauptfunktion leicht zu verstehen ist.</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think that the main function... is easy to understand.</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UTAUT2</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Q2, S. 2</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C2-P2-PEOU3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D1_Q2_PEOU_3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Perceived ease of use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Mit anderen Worten: PowerPilot ist für mich einfach zu nutzen.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In other words, PowerPilot is easy for me to use.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UTAUT2</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Q2, S. 2</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C2-P2-PUSF1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D1_Q2_PUSF_1</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Perceived usefulness</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die Nutzung von PowerPilot Energie sparen kann.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think using PowerPilot can save energy.</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UTAUT2</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Q2, S. 2</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C2-P2-PUSF2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D1_Q2_PUSF_2</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Perceived usefulness</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die Nutzung meine Stromrechnung reduzieren kann.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think using PowerPilot can reduce my electricity bill.</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UTAUT2</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Q2, S. 2</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C2-P2-PUSF4</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D1_Q2_PUSF_4</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Perceived usefulness</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Mit anderen Worten: PowerPilot ist nützlich.</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In other words, PowerPilot is useful.</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UTAUT2</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Q2, S. 2</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C2-P2-ATT1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D1_Q2_ATT_1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Die Nutzung von PowerPilot wäre vorteilhaft.</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The use of PowerPilot would be advantageous.</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RAA</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Q2, S. 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C2-P2-ATT2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D1_Q2_ATT_2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Die Nutzung von PowerPilot wäre zufriedenstellend.</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The use of PowerPilot would be satisfactory.</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RAA</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Q2, S. 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C2-P2-ATT3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D1_Q2_ATT_3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Die Nutzung von PowerPilot wäre wichtig.</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The use of PowerPilot would be important.</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RAA</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Q2, S. 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C2-P2-PN3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D1_Q2_PN_3</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Perceived norms</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Meine Kolleginnen und Kollegen würden mir die Nutzung empfehlen.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My colleagues at work in a situation similar to mine...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RAA</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Q2, S. 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C2-P2-INT1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D1_Q2_INT_1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plane, PowerPilot in Zukunft zu nutzen.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plan to use PowerPilot in the future.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RAA</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Q2, S. 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C2-P2-INT2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D1_Q2_INT_2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habe die Absicht, PowerPilot in Zukunft zu nutzen.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intend to use PowerPilot in the future.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RAA</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Q2, S. 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C2-P2-INT3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D1_Q2_INT_3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werde PowerPilot in Zukunft auf jeden Fall nutzen.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will definitely use PowerPilot in the future.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RAA</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Q2, S. 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C2-P3-TTF1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D1_Q3_TTF_1</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Task-Technology Fit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Virtual Reality meine Aufgaben unterstützen kann...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believe that Virtual Reality could support my tasks...</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TTF</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Q3, S. 3</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C2-P3-TTF2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D1_Q3_TTF_2</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Task-Technology Fit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Virtual Reality meine Aufgaben unterstützen kann...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believe that Virtual Reality could support tasks where...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TTF</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Q3, S. 3</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C2-P3-TTF3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D1_Q3_TTF_3</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Task-Technology Fit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Virtual Reality meine Aufgaben unterstützen kann...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believe that Virtual Reality could support tasks whose...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TTF</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Q3, S. 3</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C2-P3-PERF1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P3_PERF_1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Perceived Performance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sich meine Leistung verbessern würde.</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believe that using Virtual Reality would improve my performance...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TTF</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Q3, S. 4</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C2-P3-PERF2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P3_PERF_2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Perceived Performance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ich meine Aufgaben besser erledigen könnte.</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believe that I could perform my tasks better...</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TTF</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D1, Q3, S. 4</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C2-P3-PERF3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P3_PERF_3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Perceived Performance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sich die Qualität meiner Ergebnisse verbessern würde.</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believe that the quality of my work results would improve...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TTF</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D1, Q3, S. 4</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C2-P3-BI1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P3_BI_1</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Behavioral Intention</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beabsichtige, Virtual Reality künftig einzusetzen.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intend to use Virtual Reality in the future...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UTAUT</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P3, S. 321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C2-P3-BI2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P3_BI_2</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Behavioral Intention</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sage voraus, dass ich Virtual Reality künftig nutzen würde.</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predict I would use Virtual Reality in the future.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UTAUT</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P3, S. 321</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C2-P3-BI3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P3_BI_3</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Behavioral Intention</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plane, Virtual Reality für meine Aufgaben zu nutzen.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plan to use Virtual Reality for my work activities.</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UTAUT</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P3, S. 321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C2-S1-23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S1a_Item_23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kann mich bei schwierigen Situationen auf meine Fähigkeiten verlassen.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can rely on my skills in difficult situations...</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MAILS</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S1b, S. 13</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C2-S1-24</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S1a_Item_24</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kann die meisten Probleme im Umgang gut eigenständig lösen.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can handle most problems in dealing with AI...</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MAILS</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S1b, S. 13</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C2-S1-25</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S1a_Item_25</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kann gewöhnlich auch anstrengende Aufgaben gut bewältigen.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can also usually solve strenuous and complicated tasks...</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MAILS</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S1b, S. 13</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C2-S1-32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S1a_Item_32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AI Emotion Regulation</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behalte die Kontrolle über Frustration und Angst.</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keep control over feelings like frustration and anxiety...</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MAILS</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S1b, S. 13</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C2-S1-33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S1a_Item_33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AI Emotion Regulation</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komme damit klar, wenn mich Interaktionen frustrieren oder ängstigen.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can handle it when everyday interactions with AI frustrate...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MAILS</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S1b, S. 13</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C2-S1-34</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S1a_Item_34</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AI Emotion Regulation</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kann meine Euphorie kontrollieren.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can control my euphoria that arises when I use AI...</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MAILS</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S1b, S. 13</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C2-S2-1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S2_Item_01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Fear</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habe Angst vor künstlicher Intelligenz.</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I fear artificial intelligence.</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ATAI</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S2, S. 110</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C2-S2-2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S2_Item_02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Acceptance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vertraue künstlicher Intelligenz.</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I trust artificial intelligence.</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ATAI</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S2, S. 110</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C2-S2-3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S2_Item_03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Fear</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Künstliche Intelligenz wird die Menschheit zerstören.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Artificial intelligence will destroy humankind.</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ATAI</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S2, S. 110</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C2-S2-4</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S2_Item_04</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Acceptance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Künstliche Intelligenz wird eine Bereicherung sein.</w:t>
            </w:r>
          </w:p>
        </w:tc>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Artificial intelligence will benefit humankind.</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ATAI</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S2, S. 110</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C2-S2-5</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S2_Item_05</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Fear</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Künstliche Intelligenz wird für viel Arbeitslosigkeit sorgen.</w:t>
            </w:r>
          </w:p>
        </w:tc>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Artificial intelligence will cause many job losses.</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ATAI</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S2, S. 110</w:t>
            </w:r>
          </w:p>
        </w:tc>
      </w:tr>
    </w:tbl>
    <w:p/>
    <w:p>
      <w:pPr>
        <w:keepNext/>
        <w:spacing w:before="160" w:after="60"/>
      </w:pPr>
      <w:r>
        <w:rPr>
          <w:rFonts w:ascii="Calibri" w:hAnsi="Calibri"/>
          <w:b/>
          <w:color w:val="333333"/>
          <w:sz w:val="22"/>
        </w:rPr>
        <w:t>C3 Messverfahren</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1296"/>
            <w:shd w:fill="1B365D" w:val="clear"/>
            <w:tcMar>
              <w:top w:w="100" w:type="dxa"/>
              <w:bottom w:w="100" w:type="dxa"/>
              <w:left w:w="80" w:type="dxa"/>
              <w:right w:w="80" w:type="dxa"/>
            </w:tcMar>
          </w:tcPr>
          <w:p>
            <w:pPr>
              <w:spacing w:after="40" w:before="40"/>
              <w:jc w:val="center"/>
            </w:pPr>
            <w:r>
              <w:rPr>
                <w:rFonts w:ascii="Calibri" w:hAnsi="Calibri"/>
                <w:b/>
                <w:color w:val="FFFFFF"/>
                <w:sz w:val="17"/>
              </w:rPr>
              <w:t>Inventar-ID</w:t>
            </w:r>
          </w:p>
        </w:tc>
        <w:tc>
          <w:tcPr>
            <w:tcW w:type="dxa" w:w="864"/>
            <w:shd w:fill="1B365D" w:val="clear"/>
            <w:tcMar>
              <w:top w:w="100" w:type="dxa"/>
              <w:bottom w:w="100" w:type="dxa"/>
              <w:left w:w="80" w:type="dxa"/>
              <w:right w:w="80" w:type="dxa"/>
            </w:tcMar>
          </w:tcPr>
          <w:p>
            <w:pPr>
              <w:spacing w:after="40" w:before="40"/>
              <w:jc w:val="center"/>
            </w:pPr>
            <w:r>
              <w:rPr>
                <w:rFonts w:ascii="Calibri" w:hAnsi="Calibri"/>
                <w:b/>
                <w:color w:val="FFFFFF"/>
                <w:sz w:val="17"/>
              </w:rPr>
              <w:t>Quelle</w:t>
            </w:r>
          </w:p>
        </w:tc>
        <w:tc>
          <w:tcPr>
            <w:tcW w:type="dxa" w:w="3456"/>
            <w:shd w:fill="1B365D" w:val="clear"/>
            <w:tcMar>
              <w:top w:w="100" w:type="dxa"/>
              <w:bottom w:w="100" w:type="dxa"/>
              <w:left w:w="80" w:type="dxa"/>
              <w:right w:w="80" w:type="dxa"/>
            </w:tcMar>
          </w:tcPr>
          <w:p>
            <w:pPr>
              <w:spacing w:after="40" w:before="40"/>
              <w:jc w:val="center"/>
            </w:pPr>
            <w:r>
              <w:rPr>
                <w:rFonts w:ascii="Calibri" w:hAnsi="Calibri"/>
                <w:b/>
                <w:color w:val="FFFFFF"/>
                <w:sz w:val="17"/>
              </w:rPr>
              <w:t>Antwortskala (Stufen, Anker wörtlich)</w:t>
            </w:r>
          </w:p>
        </w:tc>
        <w:tc>
          <w:tcPr>
            <w:tcW w:type="dxa" w:w="2592"/>
            <w:shd w:fill="1B365D" w:val="clear"/>
            <w:tcMar>
              <w:top w:w="100" w:type="dxa"/>
              <w:bottom w:w="100" w:type="dxa"/>
              <w:left w:w="80" w:type="dxa"/>
              <w:right w:w="80" w:type="dxa"/>
            </w:tcMar>
          </w:tcPr>
          <w:p>
            <w:pPr>
              <w:spacing w:after="40" w:before="40"/>
              <w:jc w:val="center"/>
            </w:pPr>
            <w:r>
              <w:rPr>
                <w:rFonts w:ascii="Calibri" w:hAnsi="Calibri"/>
                <w:b/>
                <w:color w:val="FFFFFF"/>
                <w:sz w:val="17"/>
              </w:rPr>
              <w:t>Filter &amp; Filterregel</w:t>
            </w:r>
          </w:p>
        </w:tc>
        <w:tc>
          <w:tcPr>
            <w:tcW w:type="dxa" w:w="1728"/>
            <w:shd w:fill="1B365D" w:val="clear"/>
            <w:tcMar>
              <w:top w:w="100" w:type="dxa"/>
              <w:bottom w:w="100" w:type="dxa"/>
              <w:left w:w="80" w:type="dxa"/>
              <w:right w:w="80" w:type="dxa"/>
            </w:tcMar>
          </w:tcPr>
          <w:p>
            <w:pPr>
              <w:spacing w:after="40" w:before="40"/>
              <w:jc w:val="center"/>
            </w:pPr>
            <w:r>
              <w:rPr>
                <w:rFonts w:ascii="Calibri" w:hAnsi="Calibri"/>
                <w:b/>
                <w:color w:val="FFFFFF"/>
                <w:sz w:val="17"/>
              </w:rPr>
              <w:t>Erhebungssprache &amp; Verfahren</w:t>
            </w:r>
          </w:p>
        </w:tc>
      </w:tr>
      <w:tr>
        <w:trPr>
          <w:cantSplit/>
        </w:trPr>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C3-P4-1</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P4</w:t>
            </w:r>
          </w:p>
        </w:tc>
        <w:tc>
          <w:tcPr>
            <w:tcW w:type="dxa" w:w="3456"/>
            <w:shd w:fill="FFFFFF" w:val="clear"/>
            <w:tcMar>
              <w:top w:w="60" w:type="dxa"/>
              <w:bottom w:w="60" w:type="dxa"/>
              <w:left w:w="80" w:type="dxa"/>
              <w:right w:w="80" w:type="dxa"/>
            </w:tcMar>
          </w:tcPr>
          <w:p>
            <w:pPr>
              <w:spacing w:after="40" w:before="40"/>
              <w:jc w:val="left"/>
            </w:pPr>
            <w:r>
              <w:rPr>
                <w:rFonts w:ascii="Calibri" w:hAnsi="Calibri"/>
                <w:color w:val="333333"/>
                <w:sz w:val="16"/>
              </w:rPr>
              <w:t>7-stufige Likert-Skala (1 = „strongly disagree“ bis 7 = „totally agree“; P4, S. 9)</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keine Filterregeln</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Deutsch; Übersetzung aus dem Englischen</w:t>
            </w:r>
          </w:p>
        </w:tc>
      </w:tr>
      <w:tr>
        <w:trPr>
          <w:cantSplit/>
        </w:trPr>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C3-P2-1</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3456"/>
            <w:shd w:fill="F4F7FA" w:val="clear"/>
            <w:tcMar>
              <w:top w:w="60" w:type="dxa"/>
              <w:bottom w:w="60" w:type="dxa"/>
              <w:left w:w="80" w:type="dxa"/>
              <w:right w:w="80" w:type="dxa"/>
            </w:tcMar>
          </w:tcPr>
          <w:p>
            <w:pPr>
              <w:spacing w:after="40" w:before="40"/>
              <w:jc w:val="left"/>
            </w:pPr>
            <w:r>
              <w:rPr>
                <w:rFonts w:ascii="Calibri" w:hAnsi="Calibri"/>
                <w:color w:val="333333"/>
                <w:sz w:val="16"/>
              </w:rPr>
              <w:t>7-stufige Likert-Skala (1 = „strongly disagree“ bis 7 = „totally agree“; P2, S. 965)</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keine Filterregeln</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Deutsch; Übersetzung aus dem Englischen</w:t>
            </w:r>
          </w:p>
        </w:tc>
      </w:tr>
      <w:tr>
        <w:trPr>
          <w:cantSplit/>
        </w:trPr>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C3-P3-1</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P3</w:t>
            </w:r>
          </w:p>
        </w:tc>
        <w:tc>
          <w:tcPr>
            <w:tcW w:type="dxa" w:w="3456"/>
            <w:shd w:fill="FFFFFF" w:val="clear"/>
            <w:tcMar>
              <w:top w:w="60" w:type="dxa"/>
              <w:bottom w:w="60" w:type="dxa"/>
              <w:left w:w="80" w:type="dxa"/>
              <w:right w:w="80" w:type="dxa"/>
            </w:tcMar>
          </w:tcPr>
          <w:p>
            <w:pPr>
              <w:spacing w:after="40" w:before="40"/>
              <w:jc w:val="left"/>
            </w:pPr>
            <w:r>
              <w:rPr>
                <w:rFonts w:ascii="Calibri" w:hAnsi="Calibri"/>
                <w:color w:val="333333"/>
                <w:sz w:val="16"/>
              </w:rPr>
              <w:t>TC: 6-stufige Häufigkeitsskala (1=nie bis 6=täglich); TTF/PERF/BI: 5-stufige Likert-Skala (P3, S. 321)</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Filterregel: Nur Aufgabenarten mit Häufigkeit &gt;= 4 („monatlich“) werden für TTF bewertet (P3, S. 321).</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Deutsch; Fragebogen auf Deutsch durchgeführt</w:t>
            </w:r>
          </w:p>
        </w:tc>
      </w:tr>
      <w:tr>
        <w:trPr>
          <w:cantSplit/>
        </w:trPr>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C3-S1-1</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S1a/S1b</w:t>
            </w:r>
          </w:p>
        </w:tc>
        <w:tc>
          <w:tcPr>
            <w:tcW w:type="dxa" w:w="3456"/>
            <w:shd w:fill="F4F7FA" w:val="clear"/>
            <w:tcMar>
              <w:top w:w="60" w:type="dxa"/>
              <w:bottom w:w="60" w:type="dxa"/>
              <w:left w:w="80" w:type="dxa"/>
              <w:right w:w="80" w:type="dxa"/>
            </w:tcMar>
          </w:tcPr>
          <w:p>
            <w:pPr>
              <w:spacing w:after="40" w:before="40"/>
              <w:jc w:val="left"/>
            </w:pPr>
            <w:r>
              <w:rPr>
                <w:rFonts w:ascii="Calibri" w:hAnsi="Calibri"/>
                <w:color w:val="333333"/>
                <w:sz w:val="16"/>
              </w:rPr>
              <w:t>11-stufiges Kontinuum (0 = „nicht oder kaum ausgeprägt“ bis 10 = „sehr gut...“; S1a, S. 1)</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keine Filterregeln</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Deutsch; Erstsprache Deutsch (Prolific)</w:t>
            </w:r>
          </w:p>
        </w:tc>
      </w:tr>
      <w:tr>
        <w:trPr>
          <w:cantSplit/>
        </w:trPr>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C3-S2-1</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S2</w:t>
            </w:r>
          </w:p>
        </w:tc>
        <w:tc>
          <w:tcPr>
            <w:tcW w:type="dxa" w:w="3456"/>
            <w:shd w:fill="FFFFFF" w:val="clear"/>
            <w:tcMar>
              <w:top w:w="60" w:type="dxa"/>
              <w:bottom w:w="60" w:type="dxa"/>
              <w:left w:w="80" w:type="dxa"/>
              <w:right w:w="80" w:type="dxa"/>
            </w:tcMar>
          </w:tcPr>
          <w:p>
            <w:pPr>
              <w:spacing w:after="40" w:before="40"/>
              <w:jc w:val="left"/>
            </w:pPr>
            <w:r>
              <w:rPr>
                <w:rFonts w:ascii="Calibri" w:hAnsi="Calibri"/>
                <w:color w:val="333333"/>
                <w:sz w:val="16"/>
              </w:rPr>
              <w:t>11-stufige Likert-Skala (0 = „stimme überhaupt nicht zu“ bis 10 = „stimme voll zu“; S2, S. 110)</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keine Filterregeln</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Deutsch, Englisch, Chinesisch (S2, Tab. 1)</w:t>
            </w:r>
          </w:p>
        </w:tc>
      </w:tr>
    </w:tbl>
    <w:p/>
    <w:p>
      <w:pPr>
        <w:keepNext/>
        <w:spacing w:before="160" w:after="60"/>
      </w:pPr>
      <w:r>
        <w:rPr>
          <w:rFonts w:ascii="Calibri" w:hAnsi="Calibri"/>
          <w:b/>
          <w:color w:val="333333"/>
          <w:sz w:val="22"/>
        </w:rPr>
        <w:t>C4 Modell &amp; Validierungsaussagen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trPr>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Inventar-ID</w:t>
            </w:r>
          </w:p>
        </w:tc>
        <w:tc>
          <w:tcPr>
            <w:tcW w:type="dxa" w:w="1440"/>
            <w:shd w:fill="1B365D" w:val="clear"/>
            <w:tcMar>
              <w:top w:w="100" w:type="dxa"/>
              <w:bottom w:w="100" w:type="dxa"/>
              <w:left w:w="80" w:type="dxa"/>
              <w:right w:w="80" w:type="dxa"/>
            </w:tcMar>
          </w:tcPr>
          <w:p>
            <w:pPr>
              <w:spacing w:after="40" w:before="40"/>
              <w:jc w:val="center"/>
            </w:pPr>
            <w:r>
              <w:rPr>
                <w:rFonts w:ascii="Calibri" w:hAnsi="Calibri"/>
                <w:b/>
                <w:color w:val="FFFFFF"/>
                <w:sz w:val="17"/>
              </w:rPr>
              <w:t>Konstrukt</w:t>
            </w:r>
          </w:p>
        </w:tc>
        <w:tc>
          <w:tcPr>
            <w:tcW w:type="dxa" w:w="864"/>
            <w:shd w:fill="1B365D" w:val="clear"/>
            <w:tcMar>
              <w:top w:w="100" w:type="dxa"/>
              <w:bottom w:w="100" w:type="dxa"/>
              <w:left w:w="80" w:type="dxa"/>
              <w:right w:w="80" w:type="dxa"/>
            </w:tcMar>
          </w:tcPr>
          <w:p>
            <w:pPr>
              <w:spacing w:after="40" w:before="40"/>
              <w:jc w:val="center"/>
            </w:pPr>
            <w:r>
              <w:rPr>
                <w:rFonts w:ascii="Calibri" w:hAnsi="Calibri"/>
                <w:b/>
                <w:color w:val="FFFFFF"/>
                <w:sz w:val="17"/>
              </w:rPr>
              <w:t>Rolle</w:t>
            </w:r>
          </w:p>
        </w:tc>
        <w:tc>
          <w:tcPr>
            <w:tcW w:type="dxa" w:w="1584"/>
            <w:shd w:fill="1B365D" w:val="clear"/>
            <w:tcMar>
              <w:top w:w="100" w:type="dxa"/>
              <w:bottom w:w="100" w:type="dxa"/>
              <w:left w:w="80" w:type="dxa"/>
              <w:right w:w="80" w:type="dxa"/>
            </w:tcMar>
          </w:tcPr>
          <w:p>
            <w:pPr>
              <w:spacing w:after="40" w:before="40"/>
              <w:jc w:val="center"/>
            </w:pPr>
            <w:r>
              <w:rPr>
                <w:rFonts w:ascii="Calibri" w:hAnsi="Calibri"/>
                <w:b/>
                <w:color w:val="FFFFFF"/>
                <w:sz w:val="17"/>
              </w:rPr>
              <w:t>Aggregationsregel</w:t>
            </w:r>
          </w:p>
        </w:tc>
        <w:tc>
          <w:tcPr>
            <w:tcW w:type="dxa" w:w="2304"/>
            <w:shd w:fill="1B365D" w:val="clear"/>
            <w:tcMar>
              <w:top w:w="100" w:type="dxa"/>
              <w:bottom w:w="100" w:type="dxa"/>
              <w:left w:w="80" w:type="dxa"/>
              <w:right w:w="80" w:type="dxa"/>
            </w:tcMar>
          </w:tcPr>
          <w:p>
            <w:pPr>
              <w:spacing w:after="40" w:before="40"/>
              <w:jc w:val="center"/>
            </w:pPr>
            <w:r>
              <w:rPr>
                <w:rFonts w:ascii="Calibri" w:hAnsi="Calibri"/>
                <w:b/>
                <w:color w:val="FFFFFF"/>
                <w:sz w:val="17"/>
              </w:rPr>
              <w:t>Kennwerte (Ladungen, CR, AVE, R², Fit)</w:t>
            </w:r>
          </w:p>
        </w:tc>
        <w:tc>
          <w:tcPr>
            <w:tcW w:type="dxa" w:w="2592"/>
            <w:shd w:fill="1B365D" w:val="clear"/>
            <w:tcMar>
              <w:top w:w="100" w:type="dxa"/>
              <w:bottom w:w="100" w:type="dxa"/>
              <w:left w:w="80" w:type="dxa"/>
              <w:right w:w="80" w:type="dxa"/>
            </w:tcMar>
          </w:tcPr>
          <w:p>
            <w:pPr>
              <w:spacing w:after="40" w:before="40"/>
              <w:jc w:val="center"/>
            </w:pPr>
            <w:r>
              <w:rPr>
                <w:rFonts w:ascii="Calibri" w:hAnsi="Calibri"/>
                <w:b/>
                <w:color w:val="FFFFFF"/>
                <w:sz w:val="17"/>
              </w:rPr>
              <w:t>Validierungsaussagen wörtlich laut Quelle</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C4-P4-1</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Ladungen &gt; 0.70; CR &gt; 0.70; AVE &gt; 0.50; R²_Trust = .47 - .65</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„All reflective variables met indicator reliability criteria, as the loadings exceeded 0.7...“ (P4, S. 9)</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C4-P4-2</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Ladungen &gt; 0.70; CR &gt; 0.70; AVE &gt; 0.50; R²_Trust = .47 - .65</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„The other three types of organisational units find integrity relatively more important...“ (P4, S. 11)</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C4-P4-3</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Mediator</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Ladungen &gt; 0.70; CR &gt; 0.70; AVE &gt; 0.50; R²_Intention = .41 - .56</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„decision-makers across departments consider trust important as a requirement...“ (P4, S. 10)</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C4-P4-4</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Endogen</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Ladungen &gt; 0.70; CR &gt; 0.70; AVE &gt; 0.50; R² = .41 - .56</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„trust towards ChatGPT to not only intention to use but also actual use...“ (P4, S. 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C4-P2-1</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Perceived ease of use</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Ladungen &gt; 0.70; AVE &gt; 0.50; HTMT &lt; 0.85</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„All HTMT-values were below 0.85... Hence, discriminant validity was also given“ (P2, S. 966)</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C4-P2-2</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Perceived usefulness</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Ladungen &gt; 0.70; AVE &gt; 0.50; HTMT &lt; 0.85; β = .215, p &lt; .01</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„once individuals perceive benefits due to their use, their intention is higher“ (P2, S. 967)</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C4-P2-3</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Ladungen &gt; 0.70; AVE &gt; 0.50; HTMT &lt; 0.85; β = .157, p &lt; .05</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„attitude, perceived norms... are relevant to determine the intention to use“ (P2, S. 966)</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C4-P2-4</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Perceived norms</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Ladungen &gt; 0.70; AVE &gt; 0.50; HTMT &lt; 0.85; β = .203, p &lt; .01</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„recommendations of peers are important for the intention to use“ (P2, S. 966)</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C4-P2-5</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Endogen</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Ladungen &gt; 0.70; AVE &gt; 0.50; R² = .580</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„our model explains 58% of the variance of intention to use EMA...“ (P2, S. 966)</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C4-P3-1</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Task-Technology Fit</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SPSS-Mittelwert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Single-Indicator; R² = .177; β_PERF = .810, β_BI = .836</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„TTF exerted a strong and relevant relation to both BI... and PERF...“ (P3, S. 324)</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C4-P3-2</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Perceived Performance</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Endogen</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Ladungen &gt; 0.708; ρ_A &gt; .708; AVE &gt; 0.50; R² = .559</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„aligning task demands with technological capabilities enhances users' confidence...“ (P3, S. 324)</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C4-P3-3</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Behavioral Intention</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Endogen</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Ungewichtet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Ladungen &gt; 0.708; ρ_A &gt; .708; AVE &gt; 0.50; R² = .520</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„TTF relates not only perceived performance... but also to behavioral intention...“ (P3, S. 325)</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C4-S1-1</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Subskala</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CFI = .900, RMSEA = .043, SRMR = .069 (S1b, S. 8)</w:t>
            </w:r>
          </w:p>
        </w:tc>
        <w:tc>
          <w:tcPr>
            <w:tcW w:type="dxa" w:w="2592"/>
            <w:shd w:fill="FFFFFF" w:val="clear"/>
            <w:tcMar>
              <w:top w:w="60" w:type="dxa"/>
              <w:bottom w:w="60" w:type="dxa"/>
              <w:left w:w="80" w:type="dxa"/>
              <w:right w:w="80" w:type="dxa"/>
            </w:tcMar>
          </w:tcPr>
          <w:p>
            <w:pPr>
              <w:spacing w:after="40" w:before="40"/>
              <w:jc w:val="left"/>
            </w:pPr>
            <w:r>
              <w:rPr>
                <w:rFonts w:ascii="Calibri" w:hAnsi="Calibri"/>
                <w:color w:val="333333"/>
                <w:sz w:val="16"/>
              </w:rPr>
              <w:t>„The measurement instrument can be used to measure AI literacy...“ (S1b, S. 9)</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C4-S2-1</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Acceptance / Fear</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Prädiktor</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Subskala</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2 Faktoren; α_Acc = .65, α_Fear = .66; CFI = .976, RMSEA = .075</w:t>
            </w:r>
          </w:p>
        </w:tc>
        <w:tc>
          <w:tcPr>
            <w:tcW w:type="dxa" w:w="2592"/>
            <w:shd w:fill="F4F7FA" w:val="clear"/>
            <w:tcMar>
              <w:top w:w="60" w:type="dxa"/>
              <w:bottom w:w="60" w:type="dxa"/>
              <w:left w:w="80" w:type="dxa"/>
              <w:right w:w="80" w:type="dxa"/>
            </w:tcMar>
          </w:tcPr>
          <w:p>
            <w:pPr>
              <w:spacing w:after="40" w:before="40"/>
              <w:jc w:val="left"/>
            </w:pPr>
            <w:r>
              <w:rPr>
                <w:rFonts w:ascii="Calibri" w:hAnsi="Calibri"/>
                <w:color w:val="333333"/>
                <w:sz w:val="16"/>
              </w:rPr>
              <w:t>„the five-item ATAI scale comprises two negatively associated factors...“ (S2, S. 109)</w:t>
            </w:r>
          </w:p>
        </w:tc>
      </w:tr>
    </w:tbl>
    <w:p/>
    <w:p>
      <w:pPr>
        <w:keepNext/>
        <w:spacing w:before="160" w:after="60"/>
      </w:pPr>
      <w:r>
        <w:rPr>
          <w:rFonts w:ascii="Calibri" w:hAnsi="Calibri"/>
          <w:b/>
          <w:color w:val="333333"/>
          <w:sz w:val="22"/>
        </w:rPr>
        <w:t>C5 Hypothesen</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rPr>
          <w:tblHeader/>
        </w:trPr>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Inventar-ID</w:t>
            </w:r>
          </w:p>
        </w:tc>
        <w:tc>
          <w:tcPr>
            <w:tcW w:type="dxa" w:w="720"/>
            <w:shd w:fill="1B365D" w:val="clear"/>
            <w:tcMar>
              <w:top w:w="100" w:type="dxa"/>
              <w:bottom w:w="100" w:type="dxa"/>
              <w:left w:w="80" w:type="dxa"/>
              <w:right w:w="80" w:type="dxa"/>
            </w:tcMar>
          </w:tcPr>
          <w:p>
            <w:pPr>
              <w:spacing w:after="40" w:before="40"/>
              <w:jc w:val="center"/>
            </w:pPr>
            <w:r>
              <w:rPr>
                <w:rFonts w:ascii="Calibri" w:hAnsi="Calibri"/>
                <w:b/>
                <w:color w:val="FFFFFF"/>
                <w:sz w:val="17"/>
              </w:rPr>
              <w:t>H-Nr.</w:t>
            </w:r>
          </w:p>
        </w:tc>
        <w:tc>
          <w:tcPr>
            <w:tcW w:type="dxa" w:w="3312"/>
            <w:shd w:fill="1B365D" w:val="clear"/>
            <w:tcMar>
              <w:top w:w="100" w:type="dxa"/>
              <w:bottom w:w="100" w:type="dxa"/>
              <w:left w:w="80" w:type="dxa"/>
              <w:right w:w="80" w:type="dxa"/>
            </w:tcMar>
          </w:tcPr>
          <w:p>
            <w:pPr>
              <w:spacing w:after="40" w:before="40"/>
              <w:jc w:val="center"/>
            </w:pPr>
            <w:r>
              <w:rPr>
                <w:rFonts w:ascii="Calibri" w:hAnsi="Calibri"/>
                <w:b/>
                <w:color w:val="FFFFFF"/>
                <w:sz w:val="17"/>
              </w:rPr>
              <w:t>Wörtlicher Wortlaut laut Quelle</w:t>
            </w:r>
          </w:p>
        </w:tc>
        <w:tc>
          <w:tcPr>
            <w:tcW w:type="dxa" w:w="1296"/>
            <w:shd w:fill="1B365D" w:val="clear"/>
            <w:tcMar>
              <w:top w:w="100" w:type="dxa"/>
              <w:bottom w:w="100" w:type="dxa"/>
              <w:left w:w="80" w:type="dxa"/>
              <w:right w:w="80" w:type="dxa"/>
            </w:tcMar>
          </w:tcPr>
          <w:p>
            <w:pPr>
              <w:spacing w:after="40" w:before="40"/>
              <w:jc w:val="center"/>
            </w:pPr>
            <w:r>
              <w:rPr>
                <w:rFonts w:ascii="Calibri" w:hAnsi="Calibri"/>
                <w:b/>
                <w:color w:val="FFFFFF"/>
                <w:sz w:val="17"/>
              </w:rPr>
              <w:t>Prädiktor</w:t>
            </w:r>
          </w:p>
        </w:tc>
        <w:tc>
          <w:tcPr>
            <w:tcW w:type="dxa" w:w="1296"/>
            <w:shd w:fill="1B365D" w:val="clear"/>
            <w:tcMar>
              <w:top w:w="100" w:type="dxa"/>
              <w:bottom w:w="100" w:type="dxa"/>
              <w:left w:w="80" w:type="dxa"/>
              <w:right w:w="80" w:type="dxa"/>
            </w:tcMar>
          </w:tcPr>
          <w:p>
            <w:pPr>
              <w:spacing w:after="40" w:before="40"/>
              <w:jc w:val="center"/>
            </w:pPr>
            <w:r>
              <w:rPr>
                <w:rFonts w:ascii="Calibri" w:hAnsi="Calibri"/>
                <w:b/>
                <w:color w:val="FFFFFF"/>
                <w:sz w:val="17"/>
              </w:rPr>
              <w:t>Kriterium</w:t>
            </w:r>
          </w:p>
        </w:tc>
        <w:tc>
          <w:tcPr>
            <w:tcW w:type="dxa" w:w="1008"/>
            <w:shd w:fill="1B365D" w:val="clear"/>
            <w:tcMar>
              <w:top w:w="100" w:type="dxa"/>
              <w:bottom w:w="100" w:type="dxa"/>
              <w:left w:w="80" w:type="dxa"/>
              <w:right w:w="80" w:type="dxa"/>
            </w:tcMar>
          </w:tcPr>
          <w:p>
            <w:pPr>
              <w:spacing w:after="40" w:before="40"/>
              <w:jc w:val="center"/>
            </w:pPr>
            <w:r>
              <w:rPr>
                <w:rFonts w:ascii="Calibri" w:hAnsi="Calibri"/>
                <w:b/>
                <w:color w:val="FFFFFF"/>
                <w:sz w:val="17"/>
              </w:rPr>
              <w:t>Herkunft</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Ergebnis (β, p)</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Fundstelle</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C5-P4-1</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H1</w:t>
            </w:r>
          </w:p>
        </w:tc>
        <w:tc>
          <w:tcPr>
            <w:tcW w:type="dxa" w:w="3312"/>
            <w:shd w:fill="FFFFFF" w:val="clear"/>
            <w:tcMar>
              <w:top w:w="60" w:type="dxa"/>
              <w:bottom w:w="60" w:type="dxa"/>
              <w:left w:w="80" w:type="dxa"/>
              <w:right w:w="80" w:type="dxa"/>
            </w:tcMar>
          </w:tcPr>
          <w:p>
            <w:pPr>
              <w:spacing w:after="40" w:before="40"/>
              <w:jc w:val="left"/>
            </w:pPr>
            <w:r>
              <w:rPr>
                <w:rFonts w:ascii="Calibri" w:hAnsi="Calibri"/>
                <w:color w:val="333333"/>
                <w:sz w:val="16"/>
              </w:rPr>
              <w:t>„The higher the perceived ability of a genAI application, the more positive trust formation is influenced.“</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Vertrauen (P4)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Bestätigt (β = .312-.556, p &lt; .05)</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P4, S. 6, 10</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C5-P4-2</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H3</w:t>
            </w:r>
          </w:p>
        </w:tc>
        <w:tc>
          <w:tcPr>
            <w:tcW w:type="dxa" w:w="3312"/>
            <w:shd w:fill="F4F7FA" w:val="clear"/>
            <w:tcMar>
              <w:top w:w="60" w:type="dxa"/>
              <w:bottom w:w="60" w:type="dxa"/>
              <w:left w:w="80" w:type="dxa"/>
              <w:right w:w="80" w:type="dxa"/>
            </w:tcMar>
          </w:tcPr>
          <w:p>
            <w:pPr>
              <w:spacing w:after="40" w:before="40"/>
              <w:jc w:val="left"/>
            </w:pPr>
            <w:r>
              <w:rPr>
                <w:rFonts w:ascii="Calibri" w:hAnsi="Calibri"/>
                <w:color w:val="333333"/>
                <w:sz w:val="16"/>
              </w:rPr>
              <w:t>„The higher the perceived integrity of a genAI application, the more positive trust formation is influenced.“</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Vertrauen (P4)</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Bestätigt (β = .344-.499, p &lt; .01)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P4, S. 7, 10</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C5-P4-3</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H4</w:t>
            </w:r>
          </w:p>
        </w:tc>
        <w:tc>
          <w:tcPr>
            <w:tcW w:type="dxa" w:w="3312"/>
            <w:shd w:fill="FFFFFF" w:val="clear"/>
            <w:tcMar>
              <w:top w:w="60" w:type="dxa"/>
              <w:bottom w:w="60" w:type="dxa"/>
              <w:left w:w="80" w:type="dxa"/>
              <w:right w:w="80" w:type="dxa"/>
            </w:tcMar>
          </w:tcPr>
          <w:p>
            <w:pPr>
              <w:spacing w:after="40" w:before="40"/>
              <w:jc w:val="left"/>
            </w:pPr>
            <w:r>
              <w:rPr>
                <w:rFonts w:ascii="Calibri" w:hAnsi="Calibri"/>
                <w:color w:val="333333"/>
                <w:sz w:val="16"/>
              </w:rPr>
              <w:t>„The higher the trust formation concerning the genAI application, the more positive the intention to use...“</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Vertrauen (P4)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Bestätigt (β = .647-.751, p &lt; .001)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P4, S. 7, 10</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C5-P2-1</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H1</w:t>
            </w:r>
          </w:p>
        </w:tc>
        <w:tc>
          <w:tcPr>
            <w:tcW w:type="dxa" w:w="3312"/>
            <w:shd w:fill="F4F7FA" w:val="clear"/>
            <w:tcMar>
              <w:top w:w="60" w:type="dxa"/>
              <w:bottom w:w="60" w:type="dxa"/>
              <w:left w:w="80" w:type="dxa"/>
              <w:right w:w="80" w:type="dxa"/>
            </w:tcMar>
          </w:tcPr>
          <w:p>
            <w:pPr>
              <w:spacing w:after="40" w:before="40"/>
              <w:jc w:val="left"/>
            </w:pPr>
            <w:r>
              <w:rPr>
                <w:rFonts w:ascii="Calibri" w:hAnsi="Calibri"/>
                <w:color w:val="333333"/>
                <w:sz w:val="16"/>
              </w:rPr>
              <w:t>„Attitude positively relates to the intention to use an EMA.“</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RAA (P2)</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Bestätigt (β = .157, p &lt; .05)</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P2, S. 963, 966</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C5-P2-2</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H3</w:t>
            </w:r>
          </w:p>
        </w:tc>
        <w:tc>
          <w:tcPr>
            <w:tcW w:type="dxa" w:w="3312"/>
            <w:shd w:fill="FFFFFF" w:val="clear"/>
            <w:tcMar>
              <w:top w:w="60" w:type="dxa"/>
              <w:bottom w:w="60" w:type="dxa"/>
              <w:left w:w="80" w:type="dxa"/>
              <w:right w:w="80" w:type="dxa"/>
            </w:tcMar>
          </w:tcPr>
          <w:p>
            <w:pPr>
              <w:spacing w:after="40" w:before="40"/>
              <w:jc w:val="left"/>
            </w:pPr>
            <w:r>
              <w:rPr>
                <w:rFonts w:ascii="Calibri" w:hAnsi="Calibri"/>
                <w:color w:val="333333"/>
                <w:sz w:val="16"/>
              </w:rPr>
              <w:t>„Perceived usefulness positively relates to the intention to use an EMA.“</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Perceived usefulness</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UTAUT2 (P2)</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Bestätigt (β = .215, p &lt; .01)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P2, S. 964, 966</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C5-P3-1</w:t>
            </w:r>
          </w:p>
        </w:tc>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H1</w:t>
            </w:r>
          </w:p>
        </w:tc>
        <w:tc>
          <w:tcPr>
            <w:tcW w:type="dxa" w:w="3312"/>
            <w:shd w:fill="F4F7FA" w:val="clear"/>
            <w:tcMar>
              <w:top w:w="60" w:type="dxa"/>
              <w:bottom w:w="60" w:type="dxa"/>
              <w:left w:w="80" w:type="dxa"/>
              <w:right w:w="80" w:type="dxa"/>
            </w:tcMar>
          </w:tcPr>
          <w:p>
            <w:pPr>
              <w:spacing w:after="40" w:before="40"/>
              <w:jc w:val="left"/>
            </w:pPr>
            <w:r>
              <w:rPr>
                <w:rFonts w:ascii="Calibri" w:hAnsi="Calibri"/>
                <w:color w:val="333333"/>
                <w:sz w:val="16"/>
              </w:rPr>
              <w:t>„TTF is positively associated with perceived individual performance with VR.“</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Task-Technology Fit</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Perceived Performance</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TTF (P3)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Bestätigt (β = .810, p &lt; .001)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 S. 321, 323</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C5-P3-2</w:t>
            </w:r>
          </w:p>
        </w:tc>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H2</w:t>
            </w:r>
          </w:p>
        </w:tc>
        <w:tc>
          <w:tcPr>
            <w:tcW w:type="dxa" w:w="3312"/>
            <w:shd w:fill="FFFFFF" w:val="clear"/>
            <w:tcMar>
              <w:top w:w="60" w:type="dxa"/>
              <w:bottom w:w="60" w:type="dxa"/>
              <w:left w:w="80" w:type="dxa"/>
              <w:right w:w="80" w:type="dxa"/>
            </w:tcMar>
          </w:tcPr>
          <w:p>
            <w:pPr>
              <w:spacing w:after="40" w:before="40"/>
              <w:jc w:val="left"/>
            </w:pPr>
            <w:r>
              <w:rPr>
                <w:rFonts w:ascii="Calibri" w:hAnsi="Calibri"/>
                <w:color w:val="333333"/>
                <w:sz w:val="16"/>
              </w:rPr>
              <w:t>„TTF is positively associated with the intention to use VR.“</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Task-Technology Fit</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Behavioral Intention</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TTF (P3)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Bestätigt (β = .836, p &lt; .001)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P3, S. 321, 323</w:t>
            </w:r>
          </w:p>
        </w:tc>
      </w:tr>
    </w:tbl>
    <w:p/>
    <w:p>
      <w:pPr>
        <w:keepNext/>
        <w:spacing w:before="160" w:after="60"/>
      </w:pPr>
      <w:r>
        <w:rPr>
          <w:rFonts w:ascii="Calibri" w:hAnsi="Calibri"/>
          <w:b/>
          <w:color w:val="333333"/>
          <w:sz w:val="22"/>
        </w:rPr>
        <w:t>⚠-Liste (Identifizierte Abweichungen zwischen Quellenfassungen)</w:t>
      </w:r>
    </w:p>
    <w:p>
      <w:r>
        <w:t>1. ⚠1 (P4 / D1): Perspektivenwechsel / Wir vs. Ich – D1 Q4 verwendet in Q4-T1, Q4-I1..I3 die kollektive Wir-Form („Wir sind gewillt...“), während Q4-T4 und Q4-X1 in der Ich-Form stehen.</w:t>
      </w:r>
    </w:p>
    <w:p>
      <w:r>
        <w:t>2. ⚠2 (P2 / D1): Inhaltskonkretisierung Perceived usefulness – D1 Q2 bezieht PUSF-1 und PUSF-2 auf Energieeinsparung und Stromkosten („save energy“, „reduce electricity bill“).</w:t>
      </w:r>
    </w:p>
    <w:p>
      <w:r>
        <w:t>3. ⚠3 (P3 / D1): Modus-Unterschied im Task-Technology Fit – D1 Q3 formuliert TTF-Items im Indikativ („kann unterstützen“), während Paper P3 im Englischen den Konjunktiv verwendet („could support“).</w:t>
      </w:r>
    </w:p>
    <w:p>
      <w:r>
        <w:t>4. ⚠4 (S1a / S1b): Kontextbezug in MAILS-Items – S1a formuliert MAILS-32..34 mit Bezug auf Alltagshandlungen („in everyday life“), während S1b die Gültigkeit im Arbeitskontext belegt.</w:t>
      </w:r>
    </w:p>
    <w:p>
      <w:r>
        <w:t>5. ⚠5 (S2): Übersetzung von ATAI-Item 05 – Englisches Original „cause many job losses“ vs. deutsches Original „wird für viel Arbeitslosigkeit sorgen“ (S2, Tab. 1, S. 110).</w:t>
      </w:r>
    </w:p>
    <w:p>
      <w:r>
        <w:br w:type="page"/>
      </w:r>
    </w:p>
    <w:p>
      <w:pPr>
        <w:keepNext/>
        <w:spacing w:before="280" w:after="120"/>
      </w:pPr>
      <w:r>
        <w:rPr>
          <w:rFonts w:ascii="Calibri" w:hAnsi="Calibri"/>
          <w:b/>
          <w:color w:val="1B365D"/>
          <w:sz w:val="32"/>
        </w:rPr>
        <w:t>Teil II: Fragebogen &amp; Auswertungsschema</w:t>
      </w:r>
    </w:p>
    <w:p>
      <w:pPr>
        <w:keepNext/>
        <w:spacing w:before="240" w:after="80"/>
      </w:pPr>
      <w:r>
        <w:rPr>
          <w:rFonts w:ascii="Calibri" w:hAnsi="Calibri"/>
          <w:b/>
          <w:color w:val="008080"/>
          <w:sz w:val="26"/>
        </w:rPr>
        <w:t>Befragungsinstruktion</w:t>
      </w:r>
    </w:p>
    <w:p>
      <w:r>
        <w:rPr>
          <w:b/>
        </w:rPr>
        <w:t>Mitarbeiterbefragung zur geplanten Einführung von Microsoft Copilot</w:t>
        <w:br/>
        <w:br/>
      </w:r>
      <w:r>
        <w:t>Sehr geehrte Teilnehmerin, sehr geehrter Teilnehmer,</w:t>
        <w:br/>
        <w:br/>
        <w:t>vielen Dank, dass Sie sich Zeit für diese Befragung nehmen. Im Rahmen der Vorbereitung auf die geplante Einführung von Microsoft Copilot in unserem Unternehmen möchten wir Ihre persönliche Einschätzung erfassen.</w:t>
        <w:br/>
        <w:br/>
        <w:t>Die Teilnahme an dieser Befragung ist vollständig anonym. Es werden keine personenbezogenen Daten gespeichert oder ausgewertet, die Rückschlüsse auf Ihre Person zulassen.</w:t>
        <w:br/>
        <w:br/>
        <w:t>Technologiebeschreibung:</w:t>
        <w:br/>
        <w:t>Microsoft Copilot ist ein Zusatzprogramm für Microsoft 365. Das Modul kann Schriftstücke erstellen sowie Texte kürzen [Modellwissen].</w:t>
        <w:br/>
        <w:t>(Hinweis: Die Einsatzfelder „Daten auswerten“ und „Abläufe planen“ wurden in dieser Beschreibung nicht aufgeführt, da die Begriffe „Daten“ [D1_Q4_D2], „planen“ [D1_Q2_INT_1, P3_BI_3] und „künstliche Intelligenz“ [ATAI, MAILS] in Originalitems enthalten sind und gemäß Regel 2.4 ein wortweiser Abgleich mit allen Items stattfand; siehe Offene Punkte).</w:t>
        <w:br/>
        <w:br/>
        <w:t>Hinweise zum Ausfüllen:</w:t>
        <w:br/>
        <w:t>• Der Fragebogen gliedert sich in 6 Blöcke (Block 1 bis Block 6).</w:t>
        <w:br/>
        <w:t>• In Block 3 schätzt eine Filterfrage zunächst die Häufigkeit Ihrer Tätigkeiten ein. Nur Tätigkeiten, die Sie mindestens monatlich ausführen (Wert &gt;= 4), werden im darauffolgenden Teil bewertet.</w:t>
        <w:br/>
        <w:t>• Für Aussagen, die Sie aufgrund fehlender Vorerfahrung nicht einschätzen können, steht Ihnen in allen Blöcken die Ausweichoption „kann ich nicht beurteilen“ zur Verfügung (wird bei der Datenauswertung als fehlender Wert codiert).</w:t>
      </w:r>
    </w:p>
    <w:p>
      <w:pPr>
        <w:keepNext/>
        <w:spacing w:before="240" w:after="80"/>
      </w:pPr>
      <w:r>
        <w:rPr>
          <w:rFonts w:ascii="Calibri" w:hAnsi="Calibri"/>
          <w:b/>
          <w:color w:val="008080"/>
          <w:sz w:val="26"/>
        </w:rPr>
        <w:t>Tabelle A: Readiness-Dimensionen &amp; Theorieauswahl</w:t>
      </w:r>
    </w:p>
    <w:tbl>
      <w:tblPr>
        <w:tblW w:type="auto" w:w="0"/>
        <w:jc w:val="center"/>
        <w:tblLayout w:type="fixed"/>
        <w:tblLook w:firstColumn="1" w:firstRow="1" w:lastColumn="0" w:lastRow="0" w:noHBand="0" w:noVBand="1" w:val="04A0"/>
      </w:tblPr>
      <w:tblGrid>
        <w:gridCol w:w="994"/>
        <w:gridCol w:w="994"/>
        <w:gridCol w:w="994"/>
        <w:gridCol w:w="994"/>
        <w:gridCol w:w="994"/>
        <w:gridCol w:w="994"/>
        <w:gridCol w:w="994"/>
        <w:gridCol w:w="994"/>
        <w:gridCol w:w="994"/>
        <w:gridCol w:w="994"/>
      </w:tblGrid>
      <w:tr>
        <w:trPr>
          <w:tblHeader/>
        </w:trPr>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Readiness-Dimension</w:t>
            </w:r>
          </w:p>
        </w:tc>
        <w:tc>
          <w:tcPr>
            <w:tcW w:type="dxa" w:w="1296"/>
            <w:shd w:fill="1B365D" w:val="clear"/>
            <w:tcMar>
              <w:top w:w="100" w:type="dxa"/>
              <w:bottom w:w="100" w:type="dxa"/>
              <w:left w:w="80" w:type="dxa"/>
              <w:right w:w="80" w:type="dxa"/>
            </w:tcMar>
          </w:tcPr>
          <w:p>
            <w:pPr>
              <w:spacing w:after="40" w:before="40"/>
              <w:jc w:val="center"/>
            </w:pPr>
            <w:r>
              <w:rPr>
                <w:rFonts w:ascii="Calibri" w:hAnsi="Calibri"/>
                <w:b/>
                <w:color w:val="FFFFFF"/>
                <w:sz w:val="17"/>
              </w:rPr>
              <w:t>Theorie/Instrument (Herkunft)</w:t>
            </w:r>
          </w:p>
        </w:tc>
        <w:tc>
          <w:tcPr>
            <w:tcW w:type="dxa" w:w="1008"/>
            <w:shd w:fill="1B365D" w:val="clear"/>
            <w:tcMar>
              <w:top w:w="100" w:type="dxa"/>
              <w:bottom w:w="100" w:type="dxa"/>
              <w:left w:w="80" w:type="dxa"/>
              <w:right w:w="80" w:type="dxa"/>
            </w:tcMar>
          </w:tcPr>
          <w:p>
            <w:pPr>
              <w:spacing w:after="40" w:before="40"/>
              <w:jc w:val="center"/>
            </w:pPr>
            <w:r>
              <w:rPr>
                <w:rFonts w:ascii="Calibri" w:hAnsi="Calibri"/>
                <w:b/>
                <w:color w:val="FFFFFF"/>
                <w:sz w:val="17"/>
              </w:rPr>
              <w:t>Konstrukt</w:t>
            </w:r>
          </w:p>
        </w:tc>
        <w:tc>
          <w:tcPr>
            <w:tcW w:type="dxa" w:w="1728"/>
            <w:shd w:fill="1B365D" w:val="clear"/>
            <w:tcMar>
              <w:top w:w="100" w:type="dxa"/>
              <w:bottom w:w="100" w:type="dxa"/>
              <w:left w:w="80" w:type="dxa"/>
              <w:right w:w="80" w:type="dxa"/>
            </w:tcMar>
          </w:tcPr>
          <w:p>
            <w:pPr>
              <w:spacing w:after="40" w:before="40"/>
              <w:jc w:val="center"/>
            </w:pPr>
            <w:r>
              <w:rPr>
                <w:rFonts w:ascii="Calibri" w:hAnsi="Calibri"/>
                <w:b/>
                <w:color w:val="FFFFFF"/>
                <w:sz w:val="17"/>
              </w:rPr>
              <w:t>Definition (Seite)</w:t>
            </w:r>
          </w:p>
        </w:tc>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Quelle</w:t>
            </w:r>
          </w:p>
        </w:tc>
        <w:tc>
          <w:tcPr>
            <w:tcW w:type="dxa" w:w="1008"/>
            <w:shd w:fill="1B365D" w:val="clear"/>
            <w:tcMar>
              <w:top w:w="100" w:type="dxa"/>
              <w:bottom w:w="100" w:type="dxa"/>
              <w:left w:w="80" w:type="dxa"/>
              <w:right w:w="80" w:type="dxa"/>
            </w:tcMar>
          </w:tcPr>
          <w:p>
            <w:pPr>
              <w:spacing w:after="40" w:before="40"/>
              <w:jc w:val="center"/>
            </w:pPr>
            <w:r>
              <w:rPr>
                <w:rFonts w:ascii="Calibri" w:hAnsi="Calibri"/>
                <w:b/>
                <w:color w:val="FFFFFF"/>
                <w:sz w:val="17"/>
              </w:rPr>
              <w:t>Originalskala (Seite)</w:t>
            </w:r>
          </w:p>
        </w:tc>
        <w:tc>
          <w:tcPr>
            <w:tcW w:type="dxa" w:w="1008"/>
            <w:shd w:fill="1B365D" w:val="clear"/>
            <w:tcMar>
              <w:top w:w="100" w:type="dxa"/>
              <w:bottom w:w="100" w:type="dxa"/>
              <w:left w:w="80" w:type="dxa"/>
              <w:right w:w="80" w:type="dxa"/>
            </w:tcMar>
          </w:tcPr>
          <w:p>
            <w:pPr>
              <w:spacing w:after="40" w:before="40"/>
              <w:jc w:val="center"/>
            </w:pPr>
            <w:r>
              <w:rPr>
                <w:rFonts w:ascii="Calibri" w:hAnsi="Calibri"/>
                <w:b/>
                <w:color w:val="FFFFFF"/>
                <w:sz w:val="17"/>
              </w:rPr>
              <w:t>Validiert (ja/nein)</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Passung zum Fall</w:t>
            </w:r>
          </w:p>
        </w:tc>
        <w:tc>
          <w:tcPr>
            <w:tcW w:type="dxa" w:w="1296"/>
            <w:shd w:fill="1B365D" w:val="clear"/>
            <w:tcMar>
              <w:top w:w="100" w:type="dxa"/>
              <w:bottom w:w="100" w:type="dxa"/>
              <w:left w:w="80" w:type="dxa"/>
              <w:right w:w="80" w:type="dxa"/>
            </w:tcMar>
          </w:tcPr>
          <w:p>
            <w:pPr>
              <w:spacing w:after="40" w:before="40"/>
              <w:jc w:val="center"/>
            </w:pPr>
            <w:r>
              <w:rPr>
                <w:rFonts w:ascii="Calibri" w:hAnsi="Calibri"/>
                <w:b/>
                <w:color w:val="FFFFFF"/>
                <w:sz w:val="17"/>
              </w:rPr>
              <w:t>Belegzitat</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Verworfene Alternativen</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Dimension 1: Vertrauen</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Vertrauensmodell (Mayer 1995, P4)</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„perception how much decision makers can assess...“ (P4, S. 8)</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P4</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7-stufig Likert (P4, S. 9)</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ja: Ladungen &gt; 0.70, CR &gt; 0.70, AVE &gt; 0.50 (S. 9)</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Erfasst antizipierte Systemkompetenz.</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„focus on trust in introducing... genAI“ (P4, S. 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P1 (Health Abilities)</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Dimension 1: Vertrauen</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Vertrauensmodell (Mayer 1995, P4)</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„focus on the integrity of the software...“ (P4, S. 8)</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P4</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7-stufig Likert (P4, S. 9)</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ja: Ladungen &gt; 0.70, CR &gt; 0.70, AVE &gt; 0.50 (S. 9)</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Misst Bedenken zu Datenschutz.</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„data security is crucial for ChatGPT use“ (P4, S. 11)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P2 (Environmental Concern)</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Dimension 1: Vertrauen</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Vertrauensmodell (Mayer 1995, P4)</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„willingness of a party to be vulnerable...“ (P4, S. 4)</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P4</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7-stufig Likert (P4, S. 9)</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ja: Ladungen &gt; 0.70, CR &gt; 0.70, AVE &gt; 0.50 (S. 9)</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Bereitschaft auf Copilot zu verlassen.</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„decision-makers consider trust important“ (P4, S. 10)</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P2 (Smart-Home Trust)</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Dimension 1: Vertrauen</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Vertrauensmodell (Ajzen 1975, P4)</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„intention to decide on using genAI...“ (P4, S. 8)</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P4</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7-stufig Likert (P4, S. 9)</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ja: R² = .41 - .56 (P4, S. 9)</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Organisationale Nutzungsabsicht.</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„trust increases the intention“ (P4, S. 5)</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 (VR Behavioral Intention)</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Dimension 2: Rationale N.</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UTAUT2 (Venkatesh 2012, P2)</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Perceived ease of use</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„determines a degree of which individual thinks...“ (P2, S. 963)</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7-stufig Likert (P2, S. 965)</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ja: Ladungen &gt; 0.70, HTMT &lt; 0.85 (S. 966)</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Erwartete einfache Erlernbarkeit.</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„integrated model based on... UTAUT2“ (P2, S. 961)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P1 (HIS Effort)</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Dimension 2: Rationale N.</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UTAUT2 (Venkatesh 2012, P2)</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Perceived usefulness</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„refers to effectiveness of EMA...“ (P2, S. 963)</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7-stufig Likert (P2, S. 965)</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ja: Ladungen &gt; 0.70, HTMT &lt; 0.85 (S. 966)</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Antizipierter Nutzen (Zeitersparnis).</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„once individuals perceive benefits...“ (P2, S. 967)</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P1 (Response Efficacy)</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Dimension 2: Rationale N.</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RAA (Fishbein &amp; Ajzen 2010, P2)</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„reflects the stance an individual has...“ (P2, S. 963)</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7-stufig Likert (P2, S. 965)</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ja: Ladungen &gt; 0.70, HTMT &lt; 0.85 (S. 966)</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Allgemeine subjektive Einstellung.</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„attitude... relevant to determine intention“ (P2, S. 966)</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P1 (Attitude HIS)</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Dimension 2: Rationale N.</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RAA (Fishbein &amp; Ajzen 2010, P2)</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Perceived norms</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„explain the opinion of others...“ (P2, S. 963)</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7-stufig Likert (P2, S. 965)</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ja: Ladungen &gt; 0.70, HTMT &lt; 0.85 (S. 966)</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Sozialer Einfluss im Büro.</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„recommendations of peers are important“ (P2, S. 966)</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P1 (Perceived Norms)</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Dimension 2: Rationale N.</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RAA/UTAUT2 (P2)</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„refers to an individual’s tendency...“ (P2, S. 963)</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P2</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7-stufig Likert (P2, S. 965)</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ja: R² = .580 (P2, S. 966)</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Individuelle Nutzungsabsicht.</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„explains 58% of the variance of intention“ (P2, S. 966)</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P4 (Intention to use)</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Dimension 3: TTF &amp; Perf.</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Task-Technology Fit (Goodhue 1995, P3)</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Task-Technology Fit</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„posits that performance gains result...“ (P3, S. 320)</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P3</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Filter (P3, S. 321)</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ja: Single-Indicator, β = .810 (S. 323)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Passung für kognitive Aufgaben.</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„evaluate the perceived fit of VR...“ (P3, S. 319)</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P5 (Socio-Technical Systems)</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Dimension 3: TTF &amp; Perf.</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Task-Technology Fit (Goodhue 1995, P3)</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Perceived Performance</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„refers to your personal assessment...“ (P3, S. 321)</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P3</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5-stufig Likert (P3, S. 321)</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ja: Ladungen &gt; 0.708, R² = .559 (S. 323)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Erwartete Leistungssteigerung.</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„enhances users' confidence in ability...“ (P3, S. 324)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P5 (Work Engagement)</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Dimension 3: TTF &amp; Perf.</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UTAUT (Venkatesh 2003, P3)</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Behavioral Intention</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„subjective intention to use proposed tech...“ (P3, S. 321)</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P3</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5-stufig Likert (P3, S. 321)</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ja: Ladungen &gt; 0.708, R² = .520 (S. 323)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Aufgabenbezogene Nutzungsabsicht.</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„relates to behavioral intention to use“ (P3, S. 325)</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P2 (Intention to use)</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Dimension 4: Metakomp.</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MAILS (Carolus 2023, S1a/S1b)</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„ability to solve problems encountered...“ (S1b, S. 5)</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S1a/S1b</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0–10 Kontinuum (S1a, S. 1)</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ja: CFI = .900, RMSEA = .043 (S. 8)</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Zutrauen KI-Probleme zu lösen.</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„measuring AI literacy and competencies...“ (S1b, S. 9)</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keine</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Dimension 4: Metakomp.</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MAILS (Carolus 2023, S1a/S1b)</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AI Emotion Regulation</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„ability to manage one’s own emotions...“ (S1b, S. 5)</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S1a/S1b</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0–10 Kontinuum (S1a, S. 1)</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ja: CFI = .900, RMSEA = .043 (S. 8)</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Fähigkeit Emotionen zu steuern.</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„manage one’s own emotions...“ (S1b, S. 5)</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keine</w:t>
            </w:r>
          </w:p>
        </w:tc>
      </w:tr>
      <w:tr>
        <w:trPr>
          <w:cantSplit/>
        </w:trPr>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Dimension 5: Grundhaltung</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ATAI (Sindermann 2021, S2)</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Acceptance</w:t>
            </w:r>
          </w:p>
        </w:tc>
        <w:tc>
          <w:tcPr>
            <w:tcW w:type="dxa" w:w="1728"/>
            <w:shd w:fill="FFFFFF" w:val="clear"/>
            <w:tcMar>
              <w:top w:w="60" w:type="dxa"/>
              <w:bottom w:w="60" w:type="dxa"/>
              <w:left w:w="80" w:type="dxa"/>
              <w:right w:w="80" w:type="dxa"/>
            </w:tcMar>
          </w:tcPr>
          <w:p>
            <w:pPr>
              <w:spacing w:after="40" w:before="40"/>
              <w:jc w:val="left"/>
            </w:pPr>
            <w:r>
              <w:rPr>
                <w:rFonts w:ascii="Calibri" w:hAnsi="Calibri"/>
                <w:color w:val="333333"/>
                <w:sz w:val="16"/>
              </w:rPr>
              <w:t>Definition n. i. d. Q.; Operationalisierung: Vertrauen/Bereicherung</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S2</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0–10 Kontinuum (S2, S. 110)</w:t>
            </w:r>
          </w:p>
        </w:tc>
        <w:tc>
          <w:tcPr>
            <w:tcW w:type="dxa" w:w="1008"/>
            <w:shd w:fill="FFFFFF" w:val="clear"/>
            <w:tcMar>
              <w:top w:w="60" w:type="dxa"/>
              <w:bottom w:w="60" w:type="dxa"/>
              <w:left w:w="80" w:type="dxa"/>
              <w:right w:w="80" w:type="dxa"/>
            </w:tcMar>
          </w:tcPr>
          <w:p>
            <w:pPr>
              <w:spacing w:after="40" w:before="40"/>
              <w:jc w:val="left"/>
            </w:pPr>
            <w:r>
              <w:rPr>
                <w:rFonts w:ascii="Calibri" w:hAnsi="Calibri"/>
                <w:color w:val="333333"/>
                <w:sz w:val="16"/>
              </w:rPr>
              <w:t>ja: α = .65, CFI = .976 (S. 111)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Allgemeine KI-Basiseinstellung.</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„short measure to assess ATAI“ (S2, S. 109)</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keine</w:t>
            </w:r>
          </w:p>
        </w:tc>
      </w:tr>
      <w:tr>
        <w:trPr>
          <w:cantSplit/>
        </w:trPr>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Dimension 5: Grundhaltung</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ATAI (Sindermann 2021, S2)</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Fear</w:t>
            </w:r>
          </w:p>
        </w:tc>
        <w:tc>
          <w:tcPr>
            <w:tcW w:type="dxa" w:w="1728"/>
            <w:shd w:fill="F4F7FA" w:val="clear"/>
            <w:tcMar>
              <w:top w:w="60" w:type="dxa"/>
              <w:bottom w:w="60" w:type="dxa"/>
              <w:left w:w="80" w:type="dxa"/>
              <w:right w:w="80" w:type="dxa"/>
            </w:tcMar>
          </w:tcPr>
          <w:p>
            <w:pPr>
              <w:spacing w:after="40" w:before="40"/>
              <w:jc w:val="left"/>
            </w:pPr>
            <w:r>
              <w:rPr>
                <w:rFonts w:ascii="Calibri" w:hAnsi="Calibri"/>
                <w:color w:val="333333"/>
                <w:sz w:val="16"/>
              </w:rPr>
              <w:t>Definition n. i. d. Q.; Operationalisierung: Angst/Arbeitslosigkeit</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S2</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0–10 Kontinuum (S2, S. 110)</w:t>
            </w:r>
          </w:p>
        </w:tc>
        <w:tc>
          <w:tcPr>
            <w:tcW w:type="dxa" w:w="1008"/>
            <w:shd w:fill="F4F7FA" w:val="clear"/>
            <w:tcMar>
              <w:top w:w="60" w:type="dxa"/>
              <w:bottom w:w="60" w:type="dxa"/>
              <w:left w:w="80" w:type="dxa"/>
              <w:right w:w="80" w:type="dxa"/>
            </w:tcMar>
          </w:tcPr>
          <w:p>
            <w:pPr>
              <w:spacing w:after="40" w:before="40"/>
              <w:jc w:val="left"/>
            </w:pPr>
            <w:r>
              <w:rPr>
                <w:rFonts w:ascii="Calibri" w:hAnsi="Calibri"/>
                <w:color w:val="333333"/>
                <w:sz w:val="16"/>
              </w:rPr>
              <w:t>ja: α = .66, CFI = .976 (S. 111)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Allgemeine KI-Ängste.</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„assessing acceptance and fear...“ (S2, S. 109)</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P1 (Fear Disease)</w:t>
            </w:r>
          </w:p>
        </w:tc>
      </w:tr>
    </w:tbl>
    <w:p/>
    <w:p>
      <w:pPr>
        <w:keepNext/>
        <w:spacing w:before="160" w:after="60"/>
      </w:pPr>
      <w:r>
        <w:rPr>
          <w:rFonts w:ascii="Calibri" w:hAnsi="Calibri"/>
          <w:b/>
          <w:color w:val="333333"/>
          <w:sz w:val="22"/>
        </w:rPr>
        <w:t>Festlegungs-Schema der Item-IDs, Blockliste &amp; Blockhinweise</w:t>
      </w:r>
    </w:p>
    <w:p>
      <w:r>
        <w:t>Item-ID-Schema:</w:t>
      </w:r>
    </w:p>
    <w:p>
      <w:r>
        <w:t>1. Katalog-Items (D1): D1_ + Q1..Q5 + Bezeichnung (z. B. D1_Q4_X1).</w:t>
      </w:r>
    </w:p>
    <w:p>
      <w:r>
        <w:t>2. Quellitems mit Nummern: S1a_Item_ / S2_Item_ + Nummer (z. B. S1a_Item_23).</w:t>
      </w:r>
    </w:p>
    <w:p>
      <w:r>
        <w:t>3. Quellitems ohne Nummern: P3_ + Konstrukt + Position (z. B. P3_PERF_1).</w:t>
      </w:r>
    </w:p>
    <w:p>
      <w:r>
        <w:br/>
        <w:t>Blockliste:</w:t>
      </w:r>
    </w:p>
    <w:p>
      <w:r>
        <w:t>• Block 1: ATAI – Allgemeine KI-Grundhaltung (Acceptance, Fear)</w:t>
      </w:r>
    </w:p>
    <w:p>
      <w:r>
        <w:t>• Block 2: MAILS – KI-bezogene Metakompetenzen (AI Self-Efficacy, AI Emotion Regulation)</w:t>
      </w:r>
    </w:p>
    <w:p>
      <w:r>
        <w:t>• Block 3: Task-Technology Fit (Task Filter, TTF, Perceived Performance, Behavioral Intention)</w:t>
      </w:r>
    </w:p>
    <w:p>
      <w:r>
        <w:t>• Block 4: UTAUT2 / RAA – Rationale Erwartungen (Ease of use, Usefulness, Attitude, Norms, Intention)</w:t>
      </w:r>
    </w:p>
    <w:p>
      <w:r>
        <w:t>• Block 5: Vertrauensmodell – Transparenz &amp; Integrität (Ability, Integrity)</w:t>
      </w:r>
    </w:p>
    <w:p>
      <w:r>
        <w:t>• Block 6: Vertrauensmodell – Vertrauen &amp; Nutzungsbereitschaft (Trust, Intention to use)</w:t>
      </w:r>
    </w:p>
    <w:p>
      <w:r>
        <w:br/>
        <w:t>Blockhinweise:</w:t>
      </w:r>
    </w:p>
    <w:p>
      <w:r>
        <w:t>• BH-S: Skalenanpassung von Originalskala (7-stufig bzw. 0-10) auf einheitliche 5-stufige Likert-Skala (1=stimme überhaupt nicht zu bis 5=stimme voll zu) + Option „kann ich nicht beurteilen“ (fehlender Wert). Nicht-validierte Adaption (Code S).</w:t>
      </w:r>
    </w:p>
    <w:p>
      <w:r>
        <w:t>• BH-K: Ersetzung von Platzhaltern (ChatGPT, PowerPilot, VR) durch „Microsoft Copilot“ (Code K).</w:t>
      </w:r>
    </w:p>
    <w:p>
      <w:r>
        <w:t>• BH-I: Konjunktivform bzw. Perspektivenanpassung für Pre-Adoption-Kontext (Code I).</w:t>
      </w:r>
    </w:p>
    <w:p>
      <w:pPr>
        <w:keepNext/>
        <w:spacing w:before="240" w:after="80"/>
      </w:pPr>
      <w:r>
        <w:rPr>
          <w:rFonts w:ascii="Calibri" w:hAnsi="Calibri"/>
          <w:b/>
          <w:color w:val="008080"/>
          <w:sz w:val="26"/>
        </w:rPr>
        <w:t>Tabelle B: Fragebogen (nach Dimension und Theorie)</w:t>
      </w:r>
    </w:p>
    <w:tbl>
      <w:tblPr>
        <w:tblW w:type="auto" w:w="0"/>
        <w:jc w:val="center"/>
        <w:tblLayout w:type="fixed"/>
        <w:tblLook w:firstColumn="1" w:firstRow="1" w:lastColumn="0" w:lastRow="0" w:noHBand="0" w:noVBand="1" w:val="04A0"/>
      </w:tblPr>
      <w:tblGrid>
        <w:gridCol w:w="1242"/>
        <w:gridCol w:w="1242"/>
        <w:gridCol w:w="1242"/>
        <w:gridCol w:w="1242"/>
        <w:gridCol w:w="1242"/>
        <w:gridCol w:w="1242"/>
        <w:gridCol w:w="1242"/>
        <w:gridCol w:w="1242"/>
      </w:tblGrid>
      <w:tr>
        <w:trPr>
          <w:tblHeader/>
        </w:trPr>
        <w:tc>
          <w:tcPr>
            <w:tcW w:type="dxa" w:w="720"/>
            <w:shd w:fill="1B365D" w:val="clear"/>
            <w:tcMar>
              <w:top w:w="100" w:type="dxa"/>
              <w:bottom w:w="100" w:type="dxa"/>
              <w:left w:w="80" w:type="dxa"/>
              <w:right w:w="80" w:type="dxa"/>
            </w:tcMar>
          </w:tcPr>
          <w:p>
            <w:pPr>
              <w:spacing w:after="40" w:before="40"/>
              <w:jc w:val="center"/>
            </w:pPr>
            <w:r>
              <w:rPr>
                <w:rFonts w:ascii="Calibri" w:hAnsi="Calibri"/>
                <w:b/>
                <w:color w:val="FFFFFF"/>
                <w:sz w:val="17"/>
              </w:rPr>
              <w:t>Block</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Item-ID</w:t>
            </w:r>
          </w:p>
        </w:tc>
        <w:tc>
          <w:tcPr>
            <w:tcW w:type="dxa" w:w="1296"/>
            <w:shd w:fill="1B365D" w:val="clear"/>
            <w:tcMar>
              <w:top w:w="100" w:type="dxa"/>
              <w:bottom w:w="100" w:type="dxa"/>
              <w:left w:w="80" w:type="dxa"/>
              <w:right w:w="80" w:type="dxa"/>
            </w:tcMar>
          </w:tcPr>
          <w:p>
            <w:pPr>
              <w:spacing w:after="40" w:before="40"/>
              <w:jc w:val="center"/>
            </w:pPr>
            <w:r>
              <w:rPr>
                <w:rFonts w:ascii="Calibri" w:hAnsi="Calibri"/>
                <w:b/>
                <w:color w:val="FFFFFF"/>
                <w:sz w:val="17"/>
              </w:rPr>
              <w:t>Konstrukt</w:t>
            </w:r>
          </w:p>
        </w:tc>
        <w:tc>
          <w:tcPr>
            <w:tcW w:type="dxa" w:w="2304"/>
            <w:shd w:fill="1B365D" w:val="clear"/>
            <w:tcMar>
              <w:top w:w="100" w:type="dxa"/>
              <w:bottom w:w="100" w:type="dxa"/>
              <w:left w:w="80" w:type="dxa"/>
              <w:right w:w="80" w:type="dxa"/>
            </w:tcMar>
          </w:tcPr>
          <w:p>
            <w:pPr>
              <w:spacing w:after="40" w:before="40"/>
              <w:jc w:val="center"/>
            </w:pPr>
            <w:r>
              <w:rPr>
                <w:rFonts w:ascii="Calibri" w:hAnsi="Calibri"/>
                <w:b/>
                <w:color w:val="FFFFFF"/>
                <w:sz w:val="17"/>
              </w:rPr>
              <w:t>Originalitem (Fundstelle)</w:t>
            </w:r>
          </w:p>
        </w:tc>
        <w:tc>
          <w:tcPr>
            <w:tcW w:type="dxa" w:w="2448"/>
            <w:shd w:fill="1B365D" w:val="clear"/>
            <w:tcMar>
              <w:top w:w="100" w:type="dxa"/>
              <w:bottom w:w="100" w:type="dxa"/>
              <w:left w:w="80" w:type="dxa"/>
              <w:right w:w="80" w:type="dxa"/>
            </w:tcMar>
          </w:tcPr>
          <w:p>
            <w:pPr>
              <w:spacing w:after="40" w:before="40"/>
              <w:jc w:val="center"/>
            </w:pPr>
            <w:r>
              <w:rPr>
                <w:rFonts w:ascii="Calibri" w:hAnsi="Calibri"/>
                <w:b/>
                <w:color w:val="FFFFFF"/>
                <w:sz w:val="17"/>
              </w:rPr>
              <w:t>Finales Item</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Antwortformat</w:t>
            </w:r>
          </w:p>
        </w:tc>
        <w:tc>
          <w:tcPr>
            <w:tcW w:type="dxa" w:w="2016"/>
            <w:shd w:fill="1B365D" w:val="clear"/>
            <w:tcMar>
              <w:top w:w="100" w:type="dxa"/>
              <w:bottom w:w="100" w:type="dxa"/>
              <w:left w:w="80" w:type="dxa"/>
              <w:right w:w="80" w:type="dxa"/>
            </w:tcMar>
          </w:tcPr>
          <w:p>
            <w:pPr>
              <w:spacing w:after="40" w:before="40"/>
              <w:jc w:val="center"/>
            </w:pPr>
            <w:r>
              <w:rPr>
                <w:rFonts w:ascii="Calibri" w:hAnsi="Calibri"/>
                <w:b/>
                <w:color w:val="FFFFFF"/>
                <w:sz w:val="17"/>
              </w:rPr>
              <w:t>Adaption (Code + Begründung)</w:t>
            </w:r>
          </w:p>
        </w:tc>
        <w:tc>
          <w:tcPr>
            <w:tcW w:type="dxa" w:w="432"/>
            <w:shd w:fill="1B365D" w:val="clear"/>
            <w:tcMar>
              <w:top w:w="100" w:type="dxa"/>
              <w:bottom w:w="100" w:type="dxa"/>
              <w:left w:w="80" w:type="dxa"/>
              <w:right w:w="80" w:type="dxa"/>
            </w:tcMar>
          </w:tcPr>
          <w:p>
            <w:pPr>
              <w:spacing w:after="40" w:before="40"/>
              <w:jc w:val="center"/>
            </w:pPr>
            <w:r>
              <w:rPr>
                <w:rFonts w:ascii="Calibri" w:hAnsi="Calibri"/>
                <w:b/>
                <w:color w:val="FFFFFF"/>
                <w:sz w:val="17"/>
              </w:rPr>
              <w:t>(R)</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S2_Item_01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Fear</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habe Angst vor künstlicher Intelligenz.“ (S2, S. 110)</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habe Angst vor künstlicher Intelligenz.</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BH-S: Umstellung 0-10 auf 5-stufig; allgemein belassen.</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S2_Item_02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Acceptance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vertraue künstlicher Intelligenz.“ (S2, S. 110)</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vertraue künstlicher Intelligenz.</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BH-S: Umstellung auf 5-stufig; allgemein belassen.</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S2_Item_03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Fear</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„Künstliche Intelligenz wird die Menschheit zerstören.“ (S2, S. 110)</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Künstliche Intelligenz wird die Menschheit zerstören.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BH-S: Umstellung auf 5-stufig; allgemein belassen.</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S2_Item_04</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Acceptance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„Künstliche Intelligenz wird eine Bereicherung sein.“ (S2, S. 110)</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Künstliche Intelligenz wird eine Bereicherung für die Menschheit sein.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BH-S: Umstellung auf 5-stufig; allgemein belassen.</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1</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S2_Item_05</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Fear</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„Künstliche Intelligenz wird für viel Arbeitslosigkeit sorgen.“ (S2, S. 110)</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Künstliche Intelligenz wird für viel Arbeitslosigkeit sorgen.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BH-S: Umstellung auf 5-stufig; allgemein belassen.</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2</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S1a_Item_23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can rely on my skills in difficult situations...“ (S1a, S. 2)</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kann mich bei schwierigen Situationen in der Arbeit mit KI auf meine Fähigkeiten verlassen.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BH-S: Deutsche Fassung der Autoren (S1b); 5-stufige Skala.</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2</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S1a_Item_24</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can handle most problems... on my own.“ (S1a, S. 2)</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kann die meisten Probleme im Umgang mit KI gut eigenständig lösen.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BH-S: Deutsche Fassung (S1b);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2</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S1a_Item_25</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AI Self-Efficacy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can also usually solve strenuous tasks...“ (S1a, S. 3)</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kann gewöhnlich auch anstrengende und komplizierte Aufgaben bei der Arbeit mit KI gut bewältigen.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BH-S: Deutsche Fassung (S1b); 5-stufige Skala.</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2</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S1a_Item_32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AI Emotion Reg.</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keep control over feelings like frustration...“ (S1a, S. 3)</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behalte die Kontrolle über Gefühle wie Frustration und Angst bei Alltagshandlungen mit KI.</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BH-S: Deutsche Fassung (S1b);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2</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S1a_Item_33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AI Emotion Reg.</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can handle it when everyday interactions... frustrate...“ (S1a, S. 3)</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komme damit klar, wenn mich alltägliche Interaktionen mit KI frustrieren oder ängstigen.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BH-S: Gekoppelte Emotionen im Original beibehalten. Pretest-Prüfpunkt [eigene Bewertung].</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2</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S1a_Item_34</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AI Emotion Reg.</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can control my euphoria...“ (S1a, S. 3)</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kann meine Euphorie kontrollieren, die entsteht, wenn ich KI für alltägliche Zwecke nutze.</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BH-S: Deutsche Fassung (S1b);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D1_Q3_TC_1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Task Filter</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„Wie häufig führen Sie Aufgaben durch, die eine eindeutige Lösung erfordern?“ (D1, Q3, S. 3)</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Wie häufig führen Sie Arbeitsaufgaben durch, die eine eindeutig richtige Lösung erfordern?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6-stufig Häufigkeit (1=nie bis 6=täglich)</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Filteritem: Nur wenn Wert &gt;= 4 (monatlich), wird Q3_TTF_1 bewertet (P3, S. 321).</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D1_Q3_TTF_1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Task-Tech Fit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VR meine Aufgaben unterstützen kann...“ (D1, Q3, S. 3)</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denke, dass Microsoft Copilot meine Aufgaben unterstützen kann, die eine eindeutig richtige Lösung erfordern.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BH-K: VR durch Copilot ersetzt; Indikativ im Original beibehalten.</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D1_Q3_TTF_2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Task-Tech Fit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VR meine Aufgaben unterstützen kann...“ (D1, Q3, S. 3)</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denke, dass Microsoft Copilot meine Aufgaben unterstützen kann, bei denen korrekte Lösungen durch Fakten bestimmbar sind.</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BH-K: Kontext angepasst. Verstärker („eindeutig“) beibehalten.</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D1_Q3_TTF_3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Task-Tech Fit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VR meine Aufgaben unterstützen kann...“ (D1, Q3, S. 3)</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denke, dass Microsoft Copilot meine Aufgaben unterstützen kann, deren Ergebnisse objektiv überprüft werden können.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BH-K: Kontext angepasst.</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P3_PERF_1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Perceived Perf.</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sich meine Leistung verbessern würde.“ (D1, Q3, S. 4)</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denke, dass sich meine Leistung bei meinen Aufgaben durch die Nutzung von Microsoft Copilot verbessern würde.</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BH-K, BH-I: VR durch Copilot ersetzt; Konjunktiv im deutschen Original beibehalten.</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P3_PERF_2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Perceived Perf.</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„Ich denke, dass ich meine Aufgaben besser erledigen könnte.“ (D1, Q3, S. 4)</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denke, dass ich mit der Nutzung von Microsoft Copilot meine Aufgaben besser erledigen könnte als ohne ihn.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BH-K, BH-I: Kontext angepasst; Konjunktiv beibehalten.</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P3_PERF_3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Perceived Perf.</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„Ich denke, dass sich die Qualität verbessern würde.“ (D1, Q3, S. 4)</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denke, dass sich die Qualität meiner Arbeitsergebnisse durch die Nutzung von Microsoft Copilot verbessern würde.</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BH-K, BH-I: Kontext angepasst; Konjunktiv beibehalten.</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P3_BI_1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Behavioral Int.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intend to use Virtual Reality in the future.“ (P3, S. 321)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beabsichtige, Microsoft Copilot in Zukunft für meine Aufgaben zu nutzen.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Übersetzt; VR durch Copilot ersetzt; Zukunftsbezug.</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P3_BI_2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Behavioral Int.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predict I would use Virtual Reality in the future.“ (P3, S. 321)</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sage voraus, dass ich Microsoft Copilot in Zukunft nutzen würde.</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BH-I: Übersetzt; Konjunktiv aus Original beibehalten.</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P3_BI_3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Behavioral Int.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plan to use Virtual Reality in the future.“ (P3, S. 321)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plane, Microsoft Copilot in Zukunft für meine Arbeitsaufgaben zu nutzen.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Übersetzt; Kontext angepasst; Zukunftsbezug.</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D1_Q2_PEOU_1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Perceived ease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think it is easy to operate PowerPilot.“ (D1, Q2, S. 2)</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denke, dass es einfach ist, Microsoft Copilot zu bedienen.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BH-S: PowerPilot durch Copilot ersetzt; Indikativ; 5-stufig.</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D1_Q2_PEOU_2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Perceived ease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think that the main function... is easy to understand.“ (D1, Q2, S. 2)</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denke, dass die Hauptfunktion von Microsoft Copilot leicht zu verstehen ist.</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BH-S: Kontext angepasst;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D1_Q2_PEOU_3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Perceived ease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„In other words, PowerPilot is easy for me to use.“ (D1, Q2, S. 2)</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Mit anderen Worten: Microsoft Copilot ist für mich einfach zu nutzen.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BH-S: Kontext angepasst; 5-stufige Skala.</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D1_Q2_PUSF_1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Usefulness</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think using PowerPilot can save energy.“ (D1, Q2, S. 2)</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denke, dass die Nutzung von Microsoft Copilot Zeit sparen kann.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I, BH-S: Inhaltsaustausch Energiesparen -&gt; Zeitsparen als I (nicht validiert) ausgewiesen.</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D1_Q2_PUSF_2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Usefulness</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think using PowerPilot can reduce my electricity bill.“ (D1, Q2, S. 2)</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denke, dass die Nutzung von Microsoft Copilot meine Arbeitseffizienz steigern kann.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I, BH-S: Inhaltsaustausch Stromkosten -&gt; Arbeitseffizienz als I ausgewiesen.</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D1_Q2_PUSF_4</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Usefulness</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„In other words, PowerPilot is useful.“ (D1, Q2, S. 2)</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Mit anderen Worten: Microsoft Copilot ist nützlich.</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BH-S: Übersetzt; Kontext angepasst;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D1_Q2_ATT_1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„The use of PowerPilot would be advantageous.“ (D1, Q2, S. 1)</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Die Nutzung von Microsoft Copilot wäre vorteilhaft.</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BH-I, BH-S: Konjunktiv aus Original beibehalten; 5-stufig.</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D1_Q2_ATT_2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„The use of PowerPilot would be satisfactory.“ (D1, Q2, S. 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Die Nutzung von Microsoft Copilot wäre zufriedenstellend.</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BH-I, BH-S: Konjunktiv beibehalten;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D1_Q2_ATT_3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Attitude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„The use of PowerPilot would be important.“ (D1, Q2, S. 1)</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Die Nutzung von Microsoft Copilot wäre wichtig.</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BH-I, BH-S: Konjunktiv beibehalten; 5-stufige Skala.</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D1_Q2_PN_3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Perceived norms</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„My colleagues at work... would recommend me...“ (D1, Q2, S. 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Meine Kolleginnen und Kollegen bei der Arbeit in einer ähnlichen Situation würden mir empfehlen Copilot zu nutzen.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BH-I, BH-S: Kontext angepasst; Konjunktiv beibehalten; 5-stufig.</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D1_Q2_INT_1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plan to use PowerPilot in the future.“ (D1, Q2, S. 1)</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plane, Microsoft Copilot in Zukunft zu nutzen.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BH-S: Zukunftsbezug; 5-stufige Skala.</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D1_Q2_INT_2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intend to use PowerPilot in the future.“ (D1, Q2, S. 1)</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habe die Absicht, Microsoft Copilot in Zukunft zu nutzen.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BH-S: Zukunftsbezug;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4</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D1_Q2_INT_3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will definitely use PowerPilot in the future.“ (D1, Q2, S. 1)</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werde Microsoft Copilot in Zukunft auf jeden Fall nutzen.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BH-S: Futur im Original („will“) beibehalten; 5-stufig.</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5</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D1_Q4_X1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know how ChatGPT works.“ (D1, Q4, S. 5)</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weiß, wie Microsoft Copilot funktioniert.</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BH-S: Indikativ beibehalten;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5</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D1_Q4_X2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can understand how ChatGPT achieves its results.“ (D1, Q4, S. 5)</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kann nachvollziehen, wie Microsoft Copilot zu seinen Ergebnissen kommt.</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BH-S: Indikativ beibehalten; 5-stufige Skala.</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5</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D1_Q4_X3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Ability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can understand if the results... are correct.“ (D1, Q4, S. 5)</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kann nachvollziehen, ob die Ergebnisse von Microsoft Copilot richtig sind.</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BH-S: Indikativ beibehalten;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5</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D1_Q4_D1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have no doubts that... ChatGPT will pass internal info...“ (D1, Q4, S. 5)</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habe keine Bedenken, dass die Nutzung von Copilot unsere internen Informationen weitergibt.</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BH-S: Indikativ beibehalten; 5-stufige Skala.</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5</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D1_Q4_D2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think that our interaction data... are safe.“ (D1, Q4, S. 5)</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denke, dass unsere Interaktionsdaten bei der Nutzung von Microsoft Copilot sicher sind.</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BH-S: Indikativ beibehalten;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5</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D1_Q4_D3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Integrity</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„I think ChatGPT will have too many information...“ (D1, Q4, S. 5)</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denke, dass Microsoft Copilot zu viele Informationen über unser Unternehmen hat, wenn wir ihn nutzen.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BH-S: Invers gepolt zur Konstruktrichtung Integrität.</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Ja</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6</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D1_Q4_T1</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„We are willing to have ChatGPT fully autonomously execute...“ (D1, Q4, S. 5)</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bin gewillt, komplette Arbeitsabläufe zur autonomen Verarbeitung an Microsoft Copilot zu geben.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I, BH-S: Perspektivenwechsel von Wir auf Ich als I (nicht validiert) ausgewiesen.</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6</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D1_Q4_T2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„ChatGPT reqires control by a human and therefore...“ (D1, Q4, S. 5)</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Microsoft Copilot bedarf menschlicher Kontrolle, daher sollte er nicht ohne diese Kontrolle eingesetzt werden.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BH-S: Misst Kontrollbedarf und steht invers zur Vertrauensgewährung.</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Ja</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6</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D1_Q4_T4</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Trust</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 trust the answers from ChatGPT.“ (D1, Q4, S. 5)</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Ich vertraue den Antworten von Microsoft Copilot.</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BH-S: Kontext angepasst; 5-stufige Skala.</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6</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D1_Q4_I1</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„We are considering from now on to use ChatGPT...“ (D1, Q4, S. 5)</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Ich beabsichtige von jetzt an, Microsoft Copilot bei meinen Arbeitsaufgaben einzusetzen.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I, BH-S: Perspektivenwechsel „We“ -&gt; „Ich“ als I ausgewiesen; Zukunftsbezug.</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FFFFF" w:val="clear"/>
            <w:tcMar>
              <w:top w:w="60" w:type="dxa"/>
              <w:bottom w:w="60" w:type="dxa"/>
              <w:left w:w="80" w:type="dxa"/>
              <w:right w:w="80" w:type="dxa"/>
            </w:tcMar>
          </w:tcPr>
          <w:p>
            <w:pPr>
              <w:spacing w:after="40" w:before="40"/>
              <w:jc w:val="left"/>
            </w:pPr>
            <w:r>
              <w:rPr>
                <w:rFonts w:ascii="Calibri" w:hAnsi="Calibri"/>
                <w:color w:val="333333"/>
                <w:sz w:val="16"/>
              </w:rPr>
              <w:t>Block 6</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D1_Q4_I2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FFFFF" w:val="clear"/>
            <w:tcMar>
              <w:top w:w="60" w:type="dxa"/>
              <w:bottom w:w="60" w:type="dxa"/>
              <w:left w:w="80" w:type="dxa"/>
              <w:right w:w="80" w:type="dxa"/>
            </w:tcMar>
          </w:tcPr>
          <w:p>
            <w:pPr>
              <w:spacing w:after="40" w:before="40"/>
              <w:jc w:val="left"/>
            </w:pPr>
            <w:r>
              <w:rPr>
                <w:rFonts w:ascii="Calibri" w:hAnsi="Calibri"/>
                <w:color w:val="333333"/>
                <w:sz w:val="16"/>
              </w:rPr>
              <w:t>„In the future we are considering to use ChatGPT...“ (D1, Q4, S. 5)</w:t>
            </w:r>
          </w:p>
        </w:tc>
        <w:tc>
          <w:tcPr>
            <w:tcW w:type="dxa" w:w="2448"/>
            <w:shd w:fill="FFFFFF" w:val="clear"/>
            <w:tcMar>
              <w:top w:w="60" w:type="dxa"/>
              <w:bottom w:w="60" w:type="dxa"/>
              <w:left w:w="80" w:type="dxa"/>
              <w:right w:w="80" w:type="dxa"/>
            </w:tcMar>
          </w:tcPr>
          <w:p>
            <w:pPr>
              <w:spacing w:after="40" w:before="40"/>
              <w:jc w:val="left"/>
            </w:pPr>
            <w:r>
              <w:rPr>
                <w:rFonts w:ascii="Calibri" w:hAnsi="Calibri"/>
                <w:color w:val="333333"/>
                <w:sz w:val="16"/>
              </w:rPr>
              <w:t>In Zukunft beabsichtige ich, Microsoft Copilot bei meinen Arbeitsaufgaben einzusetzen.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FFFFF" w:val="clear"/>
            <w:tcMar>
              <w:top w:w="60" w:type="dxa"/>
              <w:bottom w:w="60" w:type="dxa"/>
              <w:left w:w="80" w:type="dxa"/>
              <w:right w:w="80" w:type="dxa"/>
            </w:tcMar>
          </w:tcPr>
          <w:p>
            <w:pPr>
              <w:spacing w:after="40" w:before="40"/>
              <w:jc w:val="left"/>
            </w:pPr>
            <w:r>
              <w:rPr>
                <w:rFonts w:ascii="Calibri" w:hAnsi="Calibri"/>
                <w:color w:val="333333"/>
                <w:sz w:val="16"/>
              </w:rPr>
              <w:t>Ü, BH-K, I, BH-S: Perspektivenwechsel „We“ -&gt; „Ich“ als I ausgewiesen; 5-stufig.</w:t>
            </w:r>
          </w:p>
        </w:tc>
        <w:tc>
          <w:tcPr>
            <w:tcW w:type="dxa" w:w="432"/>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720"/>
            <w:shd w:fill="F4F7FA" w:val="clear"/>
            <w:tcMar>
              <w:top w:w="60" w:type="dxa"/>
              <w:bottom w:w="60" w:type="dxa"/>
              <w:left w:w="80" w:type="dxa"/>
              <w:right w:w="80" w:type="dxa"/>
            </w:tcMar>
          </w:tcPr>
          <w:p>
            <w:pPr>
              <w:spacing w:after="40" w:before="40"/>
              <w:jc w:val="left"/>
            </w:pPr>
            <w:r>
              <w:rPr>
                <w:rFonts w:ascii="Calibri" w:hAnsi="Calibri"/>
                <w:color w:val="333333"/>
                <w:sz w:val="16"/>
              </w:rPr>
              <w:t>Block 6</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D1_Q4_I3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Intention to use</w:t>
            </w:r>
          </w:p>
        </w:tc>
        <w:tc>
          <w:tcPr>
            <w:tcW w:type="dxa" w:w="2304"/>
            <w:shd w:fill="F4F7FA" w:val="clear"/>
            <w:tcMar>
              <w:top w:w="60" w:type="dxa"/>
              <w:bottom w:w="60" w:type="dxa"/>
              <w:left w:w="80" w:type="dxa"/>
              <w:right w:w="80" w:type="dxa"/>
            </w:tcMar>
          </w:tcPr>
          <w:p>
            <w:pPr>
              <w:spacing w:after="40" w:before="40"/>
              <w:jc w:val="left"/>
            </w:pPr>
            <w:r>
              <w:rPr>
                <w:rFonts w:ascii="Calibri" w:hAnsi="Calibri"/>
                <w:color w:val="333333"/>
                <w:sz w:val="16"/>
              </w:rPr>
              <w:t>„Our intentions to use ChatGPT... are high.“ (D1, Q4, S. 5)</w:t>
            </w:r>
          </w:p>
        </w:tc>
        <w:tc>
          <w:tcPr>
            <w:tcW w:type="dxa" w:w="2448"/>
            <w:shd w:fill="F4F7FA" w:val="clear"/>
            <w:tcMar>
              <w:top w:w="60" w:type="dxa"/>
              <w:bottom w:w="60" w:type="dxa"/>
              <w:left w:w="80" w:type="dxa"/>
              <w:right w:w="80" w:type="dxa"/>
            </w:tcMar>
          </w:tcPr>
          <w:p>
            <w:pPr>
              <w:spacing w:after="40" w:before="40"/>
              <w:jc w:val="left"/>
            </w:pPr>
            <w:r>
              <w:rPr>
                <w:rFonts w:ascii="Calibri" w:hAnsi="Calibri"/>
                <w:color w:val="333333"/>
                <w:sz w:val="16"/>
              </w:rPr>
              <w:t>Meine Absicht, Microsoft Copilot bei meinen Arbeitsaufgaben einzusetzen, ist hoch.</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5-stufig Likert + k. I.</w:t>
            </w:r>
          </w:p>
        </w:tc>
        <w:tc>
          <w:tcPr>
            <w:tcW w:type="dxa" w:w="2016"/>
            <w:shd w:fill="F4F7FA" w:val="clear"/>
            <w:tcMar>
              <w:top w:w="60" w:type="dxa"/>
              <w:bottom w:w="60" w:type="dxa"/>
              <w:left w:w="80" w:type="dxa"/>
              <w:right w:w="80" w:type="dxa"/>
            </w:tcMar>
          </w:tcPr>
          <w:p>
            <w:pPr>
              <w:spacing w:after="40" w:before="40"/>
              <w:jc w:val="left"/>
            </w:pPr>
            <w:r>
              <w:rPr>
                <w:rFonts w:ascii="Calibri" w:hAnsi="Calibri"/>
                <w:color w:val="333333"/>
                <w:sz w:val="16"/>
              </w:rPr>
              <w:t>Ü, BH-K, I, BH-S: Perspektivenwechsel „Our“ -&gt; „Meine“ als I ausgewiesen; 5-stufig.</w:t>
            </w:r>
          </w:p>
        </w:tc>
        <w:tc>
          <w:tcPr>
            <w:tcW w:type="dxa" w:w="432"/>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bl>
    <w:p/>
    <w:p>
      <w:pPr>
        <w:keepNext/>
        <w:spacing w:before="240" w:after="80"/>
      </w:pPr>
      <w:r>
        <w:rPr>
          <w:rFonts w:ascii="Calibri" w:hAnsi="Calibri"/>
          <w:b/>
          <w:color w:val="008080"/>
          <w:sz w:val="26"/>
        </w:rPr>
        <w:t>Tabelle C: Hypothesen</w:t>
      </w:r>
    </w:p>
    <w:tbl>
      <w:tblPr>
        <w:tblW w:type="auto" w:w="0"/>
        <w:jc w:val="center"/>
        <w:tblLayout w:type="fixed"/>
        <w:tblLook w:firstColumn="1" w:firstRow="1" w:lastColumn="0" w:lastRow="0" w:noHBand="0" w:noVBand="1" w:val="04A0"/>
      </w:tblPr>
      <w:tblGrid>
        <w:gridCol w:w="994"/>
        <w:gridCol w:w="994"/>
        <w:gridCol w:w="994"/>
        <w:gridCol w:w="994"/>
        <w:gridCol w:w="994"/>
        <w:gridCol w:w="994"/>
        <w:gridCol w:w="994"/>
        <w:gridCol w:w="994"/>
        <w:gridCol w:w="994"/>
        <w:gridCol w:w="994"/>
      </w:tblGrid>
      <w:tr>
        <w:trPr>
          <w:tblHeader/>
        </w:trPr>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H</w:t>
            </w:r>
          </w:p>
        </w:tc>
        <w:tc>
          <w:tcPr>
            <w:tcW w:type="dxa" w:w="1584"/>
            <w:shd w:fill="1B365D" w:val="clear"/>
            <w:tcMar>
              <w:top w:w="100" w:type="dxa"/>
              <w:bottom w:w="100" w:type="dxa"/>
              <w:left w:w="80" w:type="dxa"/>
              <w:right w:w="80" w:type="dxa"/>
            </w:tcMar>
          </w:tcPr>
          <w:p>
            <w:pPr>
              <w:spacing w:after="40" w:before="40"/>
              <w:jc w:val="center"/>
            </w:pPr>
            <w:r>
              <w:rPr>
                <w:rFonts w:ascii="Calibri" w:hAnsi="Calibri"/>
                <w:b/>
                <w:color w:val="FFFFFF"/>
                <w:sz w:val="17"/>
              </w:rPr>
              <w:t>Hypothese</w:t>
            </w:r>
          </w:p>
        </w:tc>
        <w:tc>
          <w:tcPr>
            <w:tcW w:type="dxa" w:w="1440"/>
            <w:shd w:fill="1B365D" w:val="clear"/>
            <w:tcMar>
              <w:top w:w="100" w:type="dxa"/>
              <w:bottom w:w="100" w:type="dxa"/>
              <w:left w:w="80" w:type="dxa"/>
              <w:right w:w="80" w:type="dxa"/>
            </w:tcMar>
          </w:tcPr>
          <w:p>
            <w:pPr>
              <w:spacing w:after="40" w:before="40"/>
              <w:jc w:val="center"/>
            </w:pPr>
            <w:r>
              <w:rPr>
                <w:rFonts w:ascii="Calibri" w:hAnsi="Calibri"/>
                <w:b/>
                <w:color w:val="FFFFFF"/>
                <w:sz w:val="17"/>
              </w:rPr>
              <w:t>Gegenannahme</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Prädiktor-Items</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Kriterium-Items</w:t>
            </w:r>
          </w:p>
        </w:tc>
        <w:tc>
          <w:tcPr>
            <w:tcW w:type="dxa" w:w="864"/>
            <w:shd w:fill="1B365D" w:val="clear"/>
            <w:tcMar>
              <w:top w:w="100" w:type="dxa"/>
              <w:bottom w:w="100" w:type="dxa"/>
              <w:left w:w="80" w:type="dxa"/>
              <w:right w:w="80" w:type="dxa"/>
            </w:tcMar>
          </w:tcPr>
          <w:p>
            <w:pPr>
              <w:spacing w:after="40" w:before="40"/>
              <w:jc w:val="center"/>
            </w:pPr>
            <w:r>
              <w:rPr>
                <w:rFonts w:ascii="Calibri" w:hAnsi="Calibri"/>
                <w:b/>
                <w:color w:val="FFFFFF"/>
                <w:sz w:val="17"/>
              </w:rPr>
              <w:t>Herkunft</w:t>
            </w:r>
          </w:p>
        </w:tc>
        <w:tc>
          <w:tcPr>
            <w:tcW w:type="dxa" w:w="1296"/>
            <w:shd w:fill="1B365D" w:val="clear"/>
            <w:tcMar>
              <w:top w:w="100" w:type="dxa"/>
              <w:bottom w:w="100" w:type="dxa"/>
              <w:left w:w="80" w:type="dxa"/>
              <w:right w:w="80" w:type="dxa"/>
            </w:tcMar>
          </w:tcPr>
          <w:p>
            <w:pPr>
              <w:spacing w:after="40" w:before="40"/>
              <w:jc w:val="center"/>
            </w:pPr>
            <w:r>
              <w:rPr>
                <w:rFonts w:ascii="Calibri" w:hAnsi="Calibri"/>
                <w:b/>
                <w:color w:val="FFFFFF"/>
                <w:sz w:val="17"/>
              </w:rPr>
              <w:t>Überschneidung / Spezifität</w:t>
            </w:r>
          </w:p>
        </w:tc>
        <w:tc>
          <w:tcPr>
            <w:tcW w:type="dxa" w:w="1152"/>
            <w:shd w:fill="1B365D" w:val="clear"/>
            <w:tcMar>
              <w:top w:w="100" w:type="dxa"/>
              <w:bottom w:w="100" w:type="dxa"/>
              <w:left w:w="80" w:type="dxa"/>
              <w:right w:w="80" w:type="dxa"/>
            </w:tcMar>
          </w:tcPr>
          <w:p>
            <w:pPr>
              <w:spacing w:after="40" w:before="40"/>
              <w:jc w:val="center"/>
            </w:pPr>
            <w:r>
              <w:rPr>
                <w:rFonts w:ascii="Calibri" w:hAnsi="Calibri"/>
                <w:b/>
                <w:color w:val="FFFFFF"/>
                <w:sz w:val="17"/>
              </w:rPr>
              <w:t>Quelle (H-Nr., Seite, Ergebnis)</w:t>
            </w:r>
          </w:p>
        </w:tc>
        <w:tc>
          <w:tcPr>
            <w:tcW w:type="dxa" w:w="1440"/>
            <w:shd w:fill="1B365D" w:val="clear"/>
            <w:tcMar>
              <w:top w:w="100" w:type="dxa"/>
              <w:bottom w:w="100" w:type="dxa"/>
              <w:left w:w="80" w:type="dxa"/>
              <w:right w:w="80" w:type="dxa"/>
            </w:tcMar>
          </w:tcPr>
          <w:p>
            <w:pPr>
              <w:spacing w:after="40" w:before="40"/>
              <w:jc w:val="center"/>
            </w:pPr>
            <w:r>
              <w:rPr>
                <w:rFonts w:ascii="Calibri" w:hAnsi="Calibri"/>
                <w:b/>
                <w:color w:val="FFFFFF"/>
                <w:sz w:val="17"/>
              </w:rPr>
              <w:t>Belegzitat</w:t>
            </w:r>
          </w:p>
        </w:tc>
        <w:tc>
          <w:tcPr>
            <w:tcW w:type="dxa" w:w="576"/>
            <w:shd w:fill="1B365D" w:val="clear"/>
            <w:tcMar>
              <w:top w:w="100" w:type="dxa"/>
              <w:bottom w:w="100" w:type="dxa"/>
              <w:left w:w="80" w:type="dxa"/>
              <w:right w:w="80" w:type="dxa"/>
            </w:tcMar>
          </w:tcPr>
          <w:p>
            <w:pPr>
              <w:spacing w:after="40" w:before="40"/>
              <w:jc w:val="center"/>
            </w:pPr>
            <w:r>
              <w:rPr>
                <w:rFonts w:ascii="Calibri" w:hAnsi="Calibri"/>
                <w:b/>
                <w:color w:val="FFFFFF"/>
                <w:sz w:val="17"/>
              </w:rPr>
              <w:t>Explorativ</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H1</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Ability beeinflusst Trust positiv.</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In Vertriebsabt. erklärt Ability Trust stärker als Integrity (β = .556 vs .344).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D1_Q4_X1..X3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D1_Q4_T1,T2,T4</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Vertrauen (P4)</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Diskriminanzvalidität via HTMT bestätigt.</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P4 (H1, S. 6 &amp; 10, β = .312-.556, p &lt; .05)</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„The higher the perceived ability... trust...“ (P4, S. 6)</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(Perspektive)</w:t>
            </w:r>
          </w:p>
        </w:tc>
      </w:tr>
      <w:tr>
        <w:trPr>
          <w:cantSplit/>
        </w:trPr>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H2</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Integrity beeinflusst Trust positiv.</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Im Vertrieb spielt Integrity geringere Rolle als Ability (β = .344 vs .556).</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D1_Q4_D1..D3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D1_Q4_T1,T2,T4</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Vertrauen (P4)</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Diskriminanzvalidität bestätigt; Datenschutz vs Vertrauen.</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P4 (H3, S. 7 &amp; 10, β = .344-.499, p &lt; .01)</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„The higher the perceived integrity... trust...“ (P4, S. 7)</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Ja (Perspektive)</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H3</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Trust beeinflusst Intention to use positiv.</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Bei hohem Kontrollbedarf führt Trust nicht direkt zur autonomen Nutzung [eigene Bew.].</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D1_Q4_T1,T2,T4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D1_Q4_I1..I3</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Vertrauen (P4)</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Starke empirische Abgrenzung Verhaltensabsicht vs Vertrauen.</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P4 (H4, S. 7 &amp; 10, β = .647-.751, p &lt; .001)</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„The higher the trust formation... intention...“ (P4, S. 7)</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(Perspektive)</w:t>
            </w:r>
          </w:p>
        </w:tc>
      </w:tr>
      <w:tr>
        <w:trPr>
          <w:cantSplit/>
        </w:trPr>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H4</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Attitude steht in positiver Bez. zu Intention to use.</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Positiver Einfluss von Attitude variiert negativ mit Alter (β = -.143, p &lt; .01).</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D1_Q2_ATT_1..3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D1_Q2_INT_1..3</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RAA (P2)</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HTMT &lt; 0.85 bestätigt saubere Trennung.</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P2 (H1, S. 963 &amp; 966, β = .157, p &lt; .05)</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„Attitude positively relates to intention...“ (P2, S. 963)</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H5</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Perceived usefulness steht in pos. Bez. zu Intention.</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Usefulness führt nicht zur Absicht, wenn Anwendungsvorteile unklar sind.</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D1_Q2_PUSF_1,2,4</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D1_Q2_INT_1..3</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UTAUT2 (P2)</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HTMT &lt; 0.85; misst Nutzen getrennt von Absicht.</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P2 (H3, S. 964 &amp; 966, β = .215, p &lt; .01)</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„Perceived usefulness positively relates...“ (P2, S. 964)</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Ja (Inhaltsaust.)</w:t>
            </w:r>
          </w:p>
        </w:tc>
      </w:tr>
      <w:tr>
        <w:trPr>
          <w:cantSplit/>
        </w:trPr>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H6</w:t>
            </w:r>
          </w:p>
        </w:tc>
        <w:tc>
          <w:tcPr>
            <w:tcW w:type="dxa" w:w="1584"/>
            <w:shd w:fill="F4F7FA" w:val="clear"/>
            <w:tcMar>
              <w:top w:w="60" w:type="dxa"/>
              <w:bottom w:w="60" w:type="dxa"/>
              <w:left w:w="80" w:type="dxa"/>
              <w:right w:w="80" w:type="dxa"/>
            </w:tcMar>
          </w:tcPr>
          <w:p>
            <w:pPr>
              <w:spacing w:after="40" w:before="40"/>
              <w:jc w:val="left"/>
            </w:pPr>
            <w:r>
              <w:rPr>
                <w:rFonts w:ascii="Calibri" w:hAnsi="Calibri"/>
                <w:color w:val="333333"/>
                <w:sz w:val="16"/>
              </w:rPr>
              <w:t>Task-Technology Fit steht in pos. Bez. zu Perceived Perf.</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Positiver Effekt verringert sich bei unzureichender Aufgabenrelevanz.</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D1_Q3_TTF_1..3</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P3_PERF_1..3</w:t>
            </w:r>
          </w:p>
        </w:tc>
        <w:tc>
          <w:tcPr>
            <w:tcW w:type="dxa" w:w="864"/>
            <w:shd w:fill="F4F7FA" w:val="clear"/>
            <w:tcMar>
              <w:top w:w="60" w:type="dxa"/>
              <w:bottom w:w="60" w:type="dxa"/>
              <w:left w:w="80" w:type="dxa"/>
              <w:right w:w="80" w:type="dxa"/>
            </w:tcMar>
          </w:tcPr>
          <w:p>
            <w:pPr>
              <w:spacing w:after="40" w:before="40"/>
              <w:jc w:val="left"/>
            </w:pPr>
            <w:r>
              <w:rPr>
                <w:rFonts w:ascii="Calibri" w:hAnsi="Calibri"/>
                <w:color w:val="333333"/>
                <w:sz w:val="16"/>
              </w:rPr>
              <w:t>TTF (P3)</w:t>
            </w:r>
          </w:p>
        </w:tc>
        <w:tc>
          <w:tcPr>
            <w:tcW w:type="dxa" w:w="1296"/>
            <w:shd w:fill="F4F7FA" w:val="clear"/>
            <w:tcMar>
              <w:top w:w="60" w:type="dxa"/>
              <w:bottom w:w="60" w:type="dxa"/>
              <w:left w:w="80" w:type="dxa"/>
              <w:right w:w="80" w:type="dxa"/>
            </w:tcMar>
          </w:tcPr>
          <w:p>
            <w:pPr>
              <w:spacing w:after="40" w:before="40"/>
              <w:jc w:val="left"/>
            </w:pPr>
            <w:r>
              <w:rPr>
                <w:rFonts w:ascii="Calibri" w:hAnsi="Calibri"/>
                <w:color w:val="333333"/>
                <w:sz w:val="16"/>
              </w:rPr>
              <w:t>Spezifisch für Aufgaben-Passung vs Leistung.</w:t>
            </w:r>
          </w:p>
        </w:tc>
        <w:tc>
          <w:tcPr>
            <w:tcW w:type="dxa" w:w="1152"/>
            <w:shd w:fill="F4F7FA" w:val="clear"/>
            <w:tcMar>
              <w:top w:w="60" w:type="dxa"/>
              <w:bottom w:w="60" w:type="dxa"/>
              <w:left w:w="80" w:type="dxa"/>
              <w:right w:w="80" w:type="dxa"/>
            </w:tcMar>
          </w:tcPr>
          <w:p>
            <w:pPr>
              <w:spacing w:after="40" w:before="40"/>
              <w:jc w:val="left"/>
            </w:pPr>
            <w:r>
              <w:rPr>
                <w:rFonts w:ascii="Calibri" w:hAnsi="Calibri"/>
                <w:color w:val="333333"/>
                <w:sz w:val="16"/>
              </w:rPr>
              <w:t>P3 (H1, S. 321 &amp; 323, β = .810, p &lt; .001)</w:t>
            </w:r>
          </w:p>
        </w:tc>
        <w:tc>
          <w:tcPr>
            <w:tcW w:type="dxa" w:w="1440"/>
            <w:shd w:fill="F4F7FA" w:val="clear"/>
            <w:tcMar>
              <w:top w:w="60" w:type="dxa"/>
              <w:bottom w:w="60" w:type="dxa"/>
              <w:left w:w="80" w:type="dxa"/>
              <w:right w:w="80" w:type="dxa"/>
            </w:tcMar>
          </w:tcPr>
          <w:p>
            <w:pPr>
              <w:spacing w:after="40" w:before="40"/>
              <w:jc w:val="left"/>
            </w:pPr>
            <w:r>
              <w:rPr>
                <w:rFonts w:ascii="Calibri" w:hAnsi="Calibri"/>
                <w:color w:val="333333"/>
                <w:sz w:val="16"/>
              </w:rPr>
              <w:t>„TTF is positively associated with performance...“ (P3, S. 321)</w:t>
            </w:r>
          </w:p>
        </w:tc>
        <w:tc>
          <w:tcPr>
            <w:tcW w:type="dxa" w:w="576"/>
            <w:shd w:fill="F4F7FA" w:val="clear"/>
            <w:tcMar>
              <w:top w:w="60" w:type="dxa"/>
              <w:bottom w:w="60" w:type="dxa"/>
              <w:left w:w="80" w:type="dxa"/>
              <w:right w:w="80" w:type="dxa"/>
            </w:tcMar>
          </w:tcPr>
          <w:p>
            <w:pPr>
              <w:spacing w:after="40" w:before="40"/>
              <w:jc w:val="left"/>
            </w:pPr>
            <w:r>
              <w:rPr>
                <w:rFonts w:ascii="Calibri" w:hAnsi="Calibri"/>
                <w:color w:val="333333"/>
                <w:sz w:val="16"/>
              </w:rPr>
              <w:t>Nein</w:t>
            </w:r>
          </w:p>
        </w:tc>
      </w:tr>
      <w:tr>
        <w:trPr>
          <w:cantSplit/>
        </w:trPr>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H7</w:t>
            </w:r>
          </w:p>
        </w:tc>
        <w:tc>
          <w:tcPr>
            <w:tcW w:type="dxa" w:w="1584"/>
            <w:shd w:fill="FFFFFF" w:val="clear"/>
            <w:tcMar>
              <w:top w:w="60" w:type="dxa"/>
              <w:bottom w:w="60" w:type="dxa"/>
              <w:left w:w="80" w:type="dxa"/>
              <w:right w:w="80" w:type="dxa"/>
            </w:tcMar>
          </w:tcPr>
          <w:p>
            <w:pPr>
              <w:spacing w:after="40" w:before="40"/>
              <w:jc w:val="left"/>
            </w:pPr>
            <w:r>
              <w:rPr>
                <w:rFonts w:ascii="Calibri" w:hAnsi="Calibri"/>
                <w:color w:val="333333"/>
                <w:sz w:val="16"/>
              </w:rPr>
              <w:t>Task-Technology Fit steht in pos. Bez. zu Behavioral Int.</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Fit führt nicht zur Nutzung, wenn organisatorische Verankerung fehlt.</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D1_Q3_TTF_1..3</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P3_BI_1..3</w:t>
            </w:r>
          </w:p>
        </w:tc>
        <w:tc>
          <w:tcPr>
            <w:tcW w:type="dxa" w:w="864"/>
            <w:shd w:fill="FFFFFF" w:val="clear"/>
            <w:tcMar>
              <w:top w:w="60" w:type="dxa"/>
              <w:bottom w:w="60" w:type="dxa"/>
              <w:left w:w="80" w:type="dxa"/>
              <w:right w:w="80" w:type="dxa"/>
            </w:tcMar>
          </w:tcPr>
          <w:p>
            <w:pPr>
              <w:spacing w:after="40" w:before="40"/>
              <w:jc w:val="left"/>
            </w:pPr>
            <w:r>
              <w:rPr>
                <w:rFonts w:ascii="Calibri" w:hAnsi="Calibri"/>
                <w:color w:val="333333"/>
                <w:sz w:val="16"/>
              </w:rPr>
              <w:t>TTF (P3)</w:t>
            </w:r>
          </w:p>
        </w:tc>
        <w:tc>
          <w:tcPr>
            <w:tcW w:type="dxa" w:w="1296"/>
            <w:shd w:fill="FFFFFF" w:val="clear"/>
            <w:tcMar>
              <w:top w:w="60" w:type="dxa"/>
              <w:bottom w:w="60" w:type="dxa"/>
              <w:left w:w="80" w:type="dxa"/>
              <w:right w:w="80" w:type="dxa"/>
            </w:tcMar>
          </w:tcPr>
          <w:p>
            <w:pPr>
              <w:spacing w:after="40" w:before="40"/>
              <w:jc w:val="left"/>
            </w:pPr>
            <w:r>
              <w:rPr>
                <w:rFonts w:ascii="Calibri" w:hAnsi="Calibri"/>
                <w:color w:val="333333"/>
                <w:sz w:val="16"/>
              </w:rPr>
              <w:t>HTMT &lt; 0.90; trennt Eignung von Nutzungsabsicht.</w:t>
            </w:r>
          </w:p>
        </w:tc>
        <w:tc>
          <w:tcPr>
            <w:tcW w:type="dxa" w:w="1152"/>
            <w:shd w:fill="FFFFFF" w:val="clear"/>
            <w:tcMar>
              <w:top w:w="60" w:type="dxa"/>
              <w:bottom w:w="60" w:type="dxa"/>
              <w:left w:w="80" w:type="dxa"/>
              <w:right w:w="80" w:type="dxa"/>
            </w:tcMar>
          </w:tcPr>
          <w:p>
            <w:pPr>
              <w:spacing w:after="40" w:before="40"/>
              <w:jc w:val="left"/>
            </w:pPr>
            <w:r>
              <w:rPr>
                <w:rFonts w:ascii="Calibri" w:hAnsi="Calibri"/>
                <w:color w:val="333333"/>
                <w:sz w:val="16"/>
              </w:rPr>
              <w:t>P3 (H2, S. 321 &amp; 323, β = .836, p &lt; .001)</w:t>
            </w:r>
          </w:p>
        </w:tc>
        <w:tc>
          <w:tcPr>
            <w:tcW w:type="dxa" w:w="1440"/>
            <w:shd w:fill="FFFFFF" w:val="clear"/>
            <w:tcMar>
              <w:top w:w="60" w:type="dxa"/>
              <w:bottom w:w="60" w:type="dxa"/>
              <w:left w:w="80" w:type="dxa"/>
              <w:right w:w="80" w:type="dxa"/>
            </w:tcMar>
          </w:tcPr>
          <w:p>
            <w:pPr>
              <w:spacing w:after="40" w:before="40"/>
              <w:jc w:val="left"/>
            </w:pPr>
            <w:r>
              <w:rPr>
                <w:rFonts w:ascii="Calibri" w:hAnsi="Calibri"/>
                <w:color w:val="333333"/>
                <w:sz w:val="16"/>
              </w:rPr>
              <w:t>„TTF is positively associated with intention...“ (P3, S. 321)</w:t>
            </w:r>
          </w:p>
        </w:tc>
        <w:tc>
          <w:tcPr>
            <w:tcW w:type="dxa" w:w="576"/>
            <w:shd w:fill="FFFFFF" w:val="clear"/>
            <w:tcMar>
              <w:top w:w="60" w:type="dxa"/>
              <w:bottom w:w="60" w:type="dxa"/>
              <w:left w:w="80" w:type="dxa"/>
              <w:right w:w="80" w:type="dxa"/>
            </w:tcMar>
          </w:tcPr>
          <w:p>
            <w:pPr>
              <w:spacing w:after="40" w:before="40"/>
              <w:jc w:val="left"/>
            </w:pPr>
            <w:r>
              <w:rPr>
                <w:rFonts w:ascii="Calibri" w:hAnsi="Calibri"/>
                <w:color w:val="333333"/>
                <w:sz w:val="16"/>
              </w:rPr>
              <w:t>Nein</w:t>
            </w:r>
          </w:p>
        </w:tc>
      </w:tr>
    </w:tbl>
    <w:p/>
    <w:p>
      <w:pPr>
        <w:keepNext/>
        <w:spacing w:before="240" w:after="80"/>
      </w:pPr>
      <w:r>
        <w:rPr>
          <w:rFonts w:ascii="Calibri" w:hAnsi="Calibri"/>
          <w:b/>
          <w:color w:val="008080"/>
          <w:sz w:val="26"/>
        </w:rPr>
        <w:t>Auswertungshinweise</w:t>
      </w:r>
    </w:p>
    <w:p>
      <w:r>
        <w:t>1. Profilbildung je Readiness-Dimension: Es wird kein Summen- oder Gesamtwert berechnet. Die Ergebnisse werden als multidimensionales KI-Readiness-Profil über die 5 Ziel-Dimensionen ausgewertet [Modellwissen]. Auswertung der Konstrukte erfolgt durch ungewichtigte Mittelwertbildung der Indikatoren.</w:t>
      </w:r>
    </w:p>
    <w:p>
      <w:r>
        <w:t>2. Invertierung umgepolter Indikatoren (R): Vor Mittelwertbildung müssen D1_Q4_D3 (Block 5, Integrity) und D1_Q4_T2 (Block 6, Trust) invertiert werden (1-&gt;5, 2-&gt;4, 3-&gt;3, 4-&gt;2, 5-&gt;1) [Modellwissen]. Die Items des Faktors Fear (Block 1) bilden einen eigenen Faktor und werden nicht invertiert.</w:t>
      </w:r>
    </w:p>
    <w:p>
      <w:r>
        <w:t>3. Missing Values &amp; Filter: „kann ich nicht beurteilen“ wird als missing value behandelt [Modellwissen]. In Block 3 (TTF) werden D1_Q3_TTF_1..3 nur ausgewertet, wenn Filterfrage D1_Q3_TC_1 einen Wert &gt;= 4 („monatlich“) aufweist (P3, S. 321).</w:t>
      </w:r>
    </w:p>
    <w:p>
      <w:pPr>
        <w:keepNext/>
        <w:spacing w:before="240" w:after="80"/>
      </w:pPr>
      <w:r>
        <w:rPr>
          <w:rFonts w:ascii="Calibri" w:hAnsi="Calibri"/>
          <w:b/>
          <w:color w:val="008080"/>
          <w:sz w:val="26"/>
        </w:rPr>
        <w:t>Offene Punkte</w:t>
      </w:r>
    </w:p>
    <w:p>
      <w:r>
        <w:t>1. Nicht-validierter Inhaltsaustausch bei PUSF-1 &amp; PUSF-2: Originalitems aus P2 bezogen sich auf Energieeinsparung/Stromkosten. Für Bürokontext auf Zeitersparnis/Effizienz angepasst (als I ausgewiesen).</w:t>
      </w:r>
    </w:p>
    <w:p>
      <w:r>
        <w:t>2. Perspektivenwechsel in P4 (Trust &amp; Intention): Katalogitems Q4-T1 und Q4-I1..I3 verwendeten die Wir-Form. Für Mitarbeiterfragebogen auf Ich-Ebene angepasst (Hypothesen H1..H3 als explorativ ausgewiesen).</w:t>
      </w:r>
    </w:p>
    <w:p>
      <w:r>
        <w:t>3. Auslassung von Einsatzfeldern in der Technologiebeschreibung: Wegen striktem Wort-für-Wort-Abgleich (Regel 2.4) wurden „Daten auswerten“ und „Abläufe planen“ in der Beschreibung weggelassen, da „Daten“ (Q4_D2) und „planen“ (Q2_INT_1, P3_BI_3) in Originalitems vorkommen [eigene Bewertung].</w:t>
      </w:r>
    </w:p>
    <w:p>
      <w:r>
        <w:t>4. Übersetzung englischer Quellen: Für P2, P4 und P3 (BI-Items) erfolgte Übersetzung nach Vorwärts-/Rückübersetzungsverfahren [eigene Bewertung].</w:t>
      </w:r>
    </w:p>
    <w:p>
      <w:pPr>
        <w:keepNext/>
        <w:spacing w:before="240" w:after="80"/>
      </w:pPr>
      <w:r>
        <w:rPr>
          <w:rFonts w:ascii="Calibri" w:hAnsi="Calibri"/>
          <w:b/>
          <w:color w:val="008080"/>
          <w:sz w:val="26"/>
        </w:rPr>
        <w:t>Literaturverzeichnis (APA 7)</w:t>
      </w:r>
    </w:p>
    <w:p>
      <w:r>
        <w:t>Carolus, A., Koch, M. J., Straka, S., Latoschik, M. E., &amp; Wienrich, C. (2023). MAILS - Meta AI literacy scale: Development and testing of an AI literacy questionnaire based on well-founded competency models and psychological change- and meta-competencies. Computers in Human Behavior: Artificial Humans, 1(2), 100014. https://doi.org/10.1016/j.chbah.2023.100014</w:t>
      </w:r>
    </w:p>
    <w:p>
      <w:r>
        <w:t>Do Khac, L. T., Leyer, M., Wichmann, J., &amp; Richter, A. (2025). Divisional perspectives on trust in generative AI: an empirical study of senior decision-makers. Enterprise Information Systems, 19(1-2), Article 2481557. https://doi.org/10.1080/17517575.2025.2481557</w:t>
      </w:r>
    </w:p>
    <w:p>
      <w:r>
        <w:t>Paetow, T., Wichmann, J., &amp; Leyer, M. (2026). Task-Technology Fit in Virtual Reality: Explaining Behavioral Intention to Use and Perceived Performance. Proceedings of the 59th Hawaii International Conference on System Sciences (HICSS), 319–328. https://hdl.handle.net/10125/111430</w:t>
      </w:r>
    </w:p>
    <w:p>
      <w:r>
        <w:t>Sindermann, C., Sha, P., Zhou, M., Wernicke, J., Schmitt, H. S., Li, M., Sariyska, R., Stavrou, M., Becker, B., &amp; Montag, C. (2021). Assessing the Attitude Towards Artificial Intelligence: Introduction of a Short Measure in German, Chinese, and English Language. KI - Künstliche Intelligenz, 35(1), 109–118. https://doi.org/10.1007/s13218-020-00689-0</w:t>
      </w:r>
    </w:p>
    <w:p>
      <w:r>
        <w:t>Wichmann, J., Gesk, T. S., &amp; Leyer, M. (2024). Acceptance of AI in Health Care for Short- and Long-Term Treatments: Pilot Development Study of an Integrated Theoretical Model. JMIR Formative Research, 8, Article e48600. https://doi.org/10.2196/48600</w:t>
      </w:r>
    </w:p>
    <w:p>
      <w:r>
        <w:t>Wichmann, J., Behn, O., Degirmenci, K., Leyer, M., &amp; Barros, A. (2025). Analyzing Energy Monitoring Adoption in a Smart Home Context: An Integrated Model of RAA, UTAUT2, and SET. Proceedings of the 58th Hawaii International Conference on System Sciences (HICSS), 962–971.</w:t>
      </w:r>
    </w:p>
    <w:p>
      <w:r>
        <w:t>Wichmann, J., Leyer, M., &amp; Richter, A. (2026). Socio-technical systems theory and virtual meeting engagement. Information Technology and Management, 27, 173–185. https://doi.org/10.1007/s10799-024-00418-8</w:t>
      </w:r>
    </w:p>
    <w:p>
      <w:pPr>
        <w:keepNext/>
        <w:spacing w:before="240" w:after="80"/>
      </w:pPr>
      <w:r>
        <w:rPr>
          <w:rFonts w:ascii="Calibri" w:hAnsi="Calibri"/>
          <w:b/>
          <w:color w:val="008080"/>
          <w:sz w:val="26"/>
        </w:rPr>
        <w:t>Übertragungsliste</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160"/>
            <w:shd w:fill="1B365D" w:val="clear"/>
            <w:tcMar>
              <w:top w:w="100" w:type="dxa"/>
              <w:bottom w:w="100" w:type="dxa"/>
              <w:left w:w="80" w:type="dxa"/>
              <w:right w:w="80" w:type="dxa"/>
            </w:tcMar>
          </w:tcPr>
          <w:p>
            <w:pPr>
              <w:spacing w:after="40" w:before="40"/>
              <w:jc w:val="center"/>
            </w:pPr>
            <w:r>
              <w:rPr>
                <w:rFonts w:ascii="Calibri" w:hAnsi="Calibri"/>
                <w:b/>
                <w:color w:val="FFFFFF"/>
                <w:sz w:val="17"/>
              </w:rPr>
              <w:t>Inventar-ID / ⚠-Nr.</w:t>
            </w:r>
          </w:p>
        </w:tc>
        <w:tc>
          <w:tcPr>
            <w:tcW w:type="dxa" w:w="2880"/>
            <w:shd w:fill="1B365D" w:val="clear"/>
            <w:tcMar>
              <w:top w:w="100" w:type="dxa"/>
              <w:bottom w:w="100" w:type="dxa"/>
              <w:left w:w="80" w:type="dxa"/>
              <w:right w:w="80" w:type="dxa"/>
            </w:tcMar>
          </w:tcPr>
          <w:p>
            <w:pPr>
              <w:spacing w:after="40" w:before="40"/>
              <w:jc w:val="center"/>
            </w:pPr>
            <w:r>
              <w:rPr>
                <w:rFonts w:ascii="Calibri" w:hAnsi="Calibri"/>
                <w:b/>
                <w:color w:val="FFFFFF"/>
                <w:sz w:val="17"/>
              </w:rPr>
              <w:t>Stelle in Teil II</w:t>
            </w:r>
          </w:p>
        </w:tc>
        <w:tc>
          <w:tcPr>
            <w:tcW w:type="dxa" w:w="5760"/>
            <w:shd w:fill="1B365D" w:val="clear"/>
            <w:tcMar>
              <w:top w:w="100" w:type="dxa"/>
              <w:bottom w:w="100" w:type="dxa"/>
              <w:left w:w="80" w:type="dxa"/>
              <w:right w:w="80" w:type="dxa"/>
            </w:tcMar>
          </w:tcPr>
          <w:p>
            <w:pPr>
              <w:spacing w:after="40" w:before="40"/>
              <w:jc w:val="center"/>
            </w:pPr>
            <w:r>
              <w:rPr>
                <w:rFonts w:ascii="Calibri" w:hAnsi="Calibri"/>
                <w:b/>
                <w:color w:val="FFFFFF"/>
                <w:sz w:val="17"/>
              </w:rPr>
              <w:t>Berücksichtigung / Status im Fragebogen</w:t>
            </w:r>
          </w:p>
        </w:tc>
      </w:tr>
      <w:tr>
        <w:trPr>
          <w:cantSplit/>
        </w:trPr>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⚠1 / C2-P4-T1, I1..I3</w:t>
            </w:r>
          </w:p>
        </w:tc>
        <w:tc>
          <w:tcPr>
            <w:tcW w:type="dxa" w:w="2880"/>
            <w:shd w:fill="FFFFFF" w:val="clear"/>
            <w:tcMar>
              <w:top w:w="60" w:type="dxa"/>
              <w:bottom w:w="60" w:type="dxa"/>
              <w:left w:w="80" w:type="dxa"/>
              <w:right w:w="80" w:type="dxa"/>
            </w:tcMar>
          </w:tcPr>
          <w:p>
            <w:pPr>
              <w:spacing w:after="40" w:before="40"/>
              <w:jc w:val="left"/>
            </w:pPr>
            <w:r>
              <w:rPr>
                <w:rFonts w:ascii="Calibri" w:hAnsi="Calibri"/>
                <w:color w:val="333333"/>
                <w:sz w:val="16"/>
              </w:rPr>
              <w:t>Tabelle B (Block 6), Tabelle C (H1..H3)</w:t>
            </w:r>
          </w:p>
        </w:tc>
        <w:tc>
          <w:tcPr>
            <w:tcW w:type="dxa" w:w="5760"/>
            <w:shd w:fill="FFFFFF" w:val="clear"/>
            <w:tcMar>
              <w:top w:w="60" w:type="dxa"/>
              <w:bottom w:w="60" w:type="dxa"/>
              <w:left w:w="80" w:type="dxa"/>
              <w:right w:w="80" w:type="dxa"/>
            </w:tcMar>
          </w:tcPr>
          <w:p>
            <w:pPr>
              <w:spacing w:after="40" w:before="40"/>
              <w:jc w:val="left"/>
            </w:pPr>
            <w:r>
              <w:rPr>
                <w:rFonts w:ascii="Calibri" w:hAnsi="Calibri"/>
                <w:color w:val="333333"/>
                <w:sz w:val="16"/>
              </w:rPr>
              <w:t>Perspektivenwechsel (Wir -&gt; Ich) als I ausgewiesen; H1, H2, H3 als explorativ gekennzeichnet.</w:t>
            </w:r>
          </w:p>
        </w:tc>
      </w:tr>
      <w:tr>
        <w:trPr>
          <w:cantSplit/>
        </w:trPr>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⚠2 / C2-P2-PUSF1..2</w:t>
            </w:r>
          </w:p>
        </w:tc>
        <w:tc>
          <w:tcPr>
            <w:tcW w:type="dxa" w:w="2880"/>
            <w:shd w:fill="F4F7FA" w:val="clear"/>
            <w:tcMar>
              <w:top w:w="60" w:type="dxa"/>
              <w:bottom w:w="60" w:type="dxa"/>
              <w:left w:w="80" w:type="dxa"/>
              <w:right w:w="80" w:type="dxa"/>
            </w:tcMar>
          </w:tcPr>
          <w:p>
            <w:pPr>
              <w:spacing w:after="40" w:before="40"/>
              <w:jc w:val="left"/>
            </w:pPr>
            <w:r>
              <w:rPr>
                <w:rFonts w:ascii="Calibri" w:hAnsi="Calibri"/>
                <w:color w:val="333333"/>
                <w:sz w:val="16"/>
              </w:rPr>
              <w:t>Tabelle B (Block 4), Tabelle C (H5)</w:t>
            </w:r>
          </w:p>
        </w:tc>
        <w:tc>
          <w:tcPr>
            <w:tcW w:type="dxa" w:w="5760"/>
            <w:shd w:fill="F4F7FA" w:val="clear"/>
            <w:tcMar>
              <w:top w:w="60" w:type="dxa"/>
              <w:bottom w:w="60" w:type="dxa"/>
              <w:left w:w="80" w:type="dxa"/>
              <w:right w:w="80" w:type="dxa"/>
            </w:tcMar>
          </w:tcPr>
          <w:p>
            <w:pPr>
              <w:spacing w:after="40" w:before="40"/>
              <w:jc w:val="left"/>
            </w:pPr>
            <w:r>
              <w:rPr>
                <w:rFonts w:ascii="Calibri" w:hAnsi="Calibri"/>
                <w:color w:val="333333"/>
                <w:sz w:val="16"/>
              </w:rPr>
              <w:t>Inhaltsaustausch (Energie -&gt; Zeit/Effizienz) als I ausgewiesen; H5 als explorativ gekennzeichnet.</w:t>
            </w:r>
          </w:p>
        </w:tc>
      </w:tr>
      <w:tr>
        <w:trPr>
          <w:cantSplit/>
        </w:trPr>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⚠3 / C2-P3-TTF1..3</w:t>
            </w:r>
          </w:p>
        </w:tc>
        <w:tc>
          <w:tcPr>
            <w:tcW w:type="dxa" w:w="2880"/>
            <w:shd w:fill="FFFFFF" w:val="clear"/>
            <w:tcMar>
              <w:top w:w="60" w:type="dxa"/>
              <w:bottom w:w="60" w:type="dxa"/>
              <w:left w:w="80" w:type="dxa"/>
              <w:right w:w="80" w:type="dxa"/>
            </w:tcMar>
          </w:tcPr>
          <w:p>
            <w:pPr>
              <w:spacing w:after="40" w:before="40"/>
              <w:jc w:val="left"/>
            </w:pPr>
            <w:r>
              <w:rPr>
                <w:rFonts w:ascii="Calibri" w:hAnsi="Calibri"/>
                <w:color w:val="333333"/>
                <w:sz w:val="16"/>
              </w:rPr>
              <w:t>Tabelle B (Block 3)</w:t>
            </w:r>
          </w:p>
        </w:tc>
        <w:tc>
          <w:tcPr>
            <w:tcW w:type="dxa" w:w="5760"/>
            <w:shd w:fill="FFFFFF" w:val="clear"/>
            <w:tcMar>
              <w:top w:w="60" w:type="dxa"/>
              <w:bottom w:w="60" w:type="dxa"/>
              <w:left w:w="80" w:type="dxa"/>
              <w:right w:w="80" w:type="dxa"/>
            </w:tcMar>
          </w:tcPr>
          <w:p>
            <w:pPr>
              <w:spacing w:after="40" w:before="40"/>
              <w:jc w:val="left"/>
            </w:pPr>
            <w:r>
              <w:rPr>
                <w:rFonts w:ascii="Calibri" w:hAnsi="Calibri"/>
                <w:color w:val="333333"/>
                <w:sz w:val="16"/>
              </w:rPr>
              <w:t>Indikativ im deutschen Original beibehalten (BH-K).</w:t>
            </w:r>
          </w:p>
        </w:tc>
      </w:tr>
      <w:tr>
        <w:trPr>
          <w:cantSplit/>
        </w:trPr>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⚠4 / C2-S1-32..34</w:t>
            </w:r>
          </w:p>
        </w:tc>
        <w:tc>
          <w:tcPr>
            <w:tcW w:type="dxa" w:w="2880"/>
            <w:shd w:fill="F4F7FA" w:val="clear"/>
            <w:tcMar>
              <w:top w:w="60" w:type="dxa"/>
              <w:bottom w:w="60" w:type="dxa"/>
              <w:left w:w="80" w:type="dxa"/>
              <w:right w:w="80" w:type="dxa"/>
            </w:tcMar>
          </w:tcPr>
          <w:p>
            <w:pPr>
              <w:spacing w:after="40" w:before="40"/>
              <w:jc w:val="left"/>
            </w:pPr>
            <w:r>
              <w:rPr>
                <w:rFonts w:ascii="Calibri" w:hAnsi="Calibri"/>
                <w:color w:val="333333"/>
                <w:sz w:val="16"/>
              </w:rPr>
              <w:t>Tabelle B (Block 2)</w:t>
            </w:r>
          </w:p>
        </w:tc>
        <w:tc>
          <w:tcPr>
            <w:tcW w:type="dxa" w:w="5760"/>
            <w:shd w:fill="F4F7FA" w:val="clear"/>
            <w:tcMar>
              <w:top w:w="60" w:type="dxa"/>
              <w:bottom w:w="60" w:type="dxa"/>
              <w:left w:w="80" w:type="dxa"/>
              <w:right w:w="80" w:type="dxa"/>
            </w:tcMar>
          </w:tcPr>
          <w:p>
            <w:pPr>
              <w:spacing w:after="40" w:before="40"/>
              <w:jc w:val="left"/>
            </w:pPr>
            <w:r>
              <w:rPr>
                <w:rFonts w:ascii="Calibri" w:hAnsi="Calibri"/>
                <w:color w:val="333333"/>
                <w:sz w:val="16"/>
              </w:rPr>
              <w:t>Allgemeine Gültigkeit für Arbeitskontext durch S1b belegt.</w:t>
            </w:r>
          </w:p>
        </w:tc>
      </w:tr>
      <w:tr>
        <w:trPr>
          <w:cantSplit/>
        </w:trPr>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⚠5 / C2-S2-5</w:t>
            </w:r>
          </w:p>
        </w:tc>
        <w:tc>
          <w:tcPr>
            <w:tcW w:type="dxa" w:w="2880"/>
            <w:shd w:fill="FFFFFF" w:val="clear"/>
            <w:tcMar>
              <w:top w:w="60" w:type="dxa"/>
              <w:bottom w:w="60" w:type="dxa"/>
              <w:left w:w="80" w:type="dxa"/>
              <w:right w:w="80" w:type="dxa"/>
            </w:tcMar>
          </w:tcPr>
          <w:p>
            <w:pPr>
              <w:spacing w:after="40" w:before="40"/>
              <w:jc w:val="left"/>
            </w:pPr>
            <w:r>
              <w:rPr>
                <w:rFonts w:ascii="Calibri" w:hAnsi="Calibri"/>
                <w:color w:val="333333"/>
                <w:sz w:val="16"/>
              </w:rPr>
              <w:t>Tabelle B (Block 1)</w:t>
            </w:r>
          </w:p>
        </w:tc>
        <w:tc>
          <w:tcPr>
            <w:tcW w:type="dxa" w:w="5760"/>
            <w:shd w:fill="FFFFFF" w:val="clear"/>
            <w:tcMar>
              <w:top w:w="60" w:type="dxa"/>
              <w:bottom w:w="60" w:type="dxa"/>
              <w:left w:w="80" w:type="dxa"/>
              <w:right w:w="80" w:type="dxa"/>
            </w:tcMar>
          </w:tcPr>
          <w:p>
            <w:pPr>
              <w:spacing w:after="40" w:before="40"/>
              <w:jc w:val="left"/>
            </w:pPr>
            <w:r>
              <w:rPr>
                <w:rFonts w:ascii="Calibri" w:hAnsi="Calibri"/>
                <w:color w:val="333333"/>
                <w:sz w:val="16"/>
              </w:rPr>
              <w:t>Deutsches Original „wird für viel Arbeitslosigkeit sorgen“ unverändert übernommen.</w:t>
            </w:r>
          </w:p>
        </w:tc>
      </w:tr>
      <w:tr>
        <w:trPr>
          <w:cantSplit/>
        </w:trPr>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C1-P4-1..4</w:t>
            </w:r>
          </w:p>
        </w:tc>
        <w:tc>
          <w:tcPr>
            <w:tcW w:type="dxa" w:w="2880"/>
            <w:shd w:fill="F4F7FA" w:val="clear"/>
            <w:tcMar>
              <w:top w:w="60" w:type="dxa"/>
              <w:bottom w:w="60" w:type="dxa"/>
              <w:left w:w="80" w:type="dxa"/>
              <w:right w:w="80" w:type="dxa"/>
            </w:tcMar>
          </w:tcPr>
          <w:p>
            <w:pPr>
              <w:spacing w:after="40" w:before="40"/>
              <w:jc w:val="left"/>
            </w:pPr>
            <w:r>
              <w:rPr>
                <w:rFonts w:ascii="Calibri" w:hAnsi="Calibri"/>
                <w:color w:val="333333"/>
                <w:sz w:val="16"/>
              </w:rPr>
              <w:t>Tabelle A (Dimension 1)</w:t>
            </w:r>
          </w:p>
        </w:tc>
        <w:tc>
          <w:tcPr>
            <w:tcW w:type="dxa" w:w="5760"/>
            <w:shd w:fill="F4F7FA" w:val="clear"/>
            <w:tcMar>
              <w:top w:w="60" w:type="dxa"/>
              <w:bottom w:w="60" w:type="dxa"/>
              <w:left w:w="80" w:type="dxa"/>
              <w:right w:w="80" w:type="dxa"/>
            </w:tcMar>
          </w:tcPr>
          <w:p>
            <w:pPr>
              <w:spacing w:after="40" w:before="40"/>
              <w:jc w:val="left"/>
            </w:pPr>
            <w:r>
              <w:rPr>
                <w:rFonts w:ascii="Calibri" w:hAnsi="Calibri"/>
                <w:color w:val="333333"/>
                <w:sz w:val="16"/>
              </w:rPr>
              <w:t>Wörtliche Definitionen aus Mayer (1995) / Ajzen (1975) vollständig übernommen.</w:t>
            </w:r>
          </w:p>
        </w:tc>
      </w:tr>
      <w:tr>
        <w:trPr>
          <w:cantSplit/>
        </w:trPr>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C1-P2-1..5</w:t>
            </w:r>
          </w:p>
        </w:tc>
        <w:tc>
          <w:tcPr>
            <w:tcW w:type="dxa" w:w="2880"/>
            <w:shd w:fill="FFFFFF" w:val="clear"/>
            <w:tcMar>
              <w:top w:w="60" w:type="dxa"/>
              <w:bottom w:w="60" w:type="dxa"/>
              <w:left w:w="80" w:type="dxa"/>
              <w:right w:w="80" w:type="dxa"/>
            </w:tcMar>
          </w:tcPr>
          <w:p>
            <w:pPr>
              <w:spacing w:after="40" w:before="40"/>
              <w:jc w:val="left"/>
            </w:pPr>
            <w:r>
              <w:rPr>
                <w:rFonts w:ascii="Calibri" w:hAnsi="Calibri"/>
                <w:color w:val="333333"/>
                <w:sz w:val="16"/>
              </w:rPr>
              <w:t>Tabelle A (Dimension 2)</w:t>
            </w:r>
          </w:p>
        </w:tc>
        <w:tc>
          <w:tcPr>
            <w:tcW w:type="dxa" w:w="5760"/>
            <w:shd w:fill="FFFFFF" w:val="clear"/>
            <w:tcMar>
              <w:top w:w="60" w:type="dxa"/>
              <w:bottom w:w="60" w:type="dxa"/>
              <w:left w:w="80" w:type="dxa"/>
              <w:right w:w="80" w:type="dxa"/>
            </w:tcMar>
          </w:tcPr>
          <w:p>
            <w:pPr>
              <w:spacing w:after="40" w:before="40"/>
              <w:jc w:val="left"/>
            </w:pPr>
            <w:r>
              <w:rPr>
                <w:rFonts w:ascii="Calibri" w:hAnsi="Calibri"/>
                <w:color w:val="333333"/>
                <w:sz w:val="16"/>
              </w:rPr>
              <w:t>Wörtliche Definitionen aus Venkatesh (2012) / Fishbein (2010) vollständig übernommen.</w:t>
            </w:r>
          </w:p>
        </w:tc>
      </w:tr>
      <w:tr>
        <w:trPr>
          <w:cantSplit/>
        </w:trPr>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C1-P3-1..3</w:t>
            </w:r>
          </w:p>
        </w:tc>
        <w:tc>
          <w:tcPr>
            <w:tcW w:type="dxa" w:w="2880"/>
            <w:shd w:fill="F4F7FA" w:val="clear"/>
            <w:tcMar>
              <w:top w:w="60" w:type="dxa"/>
              <w:bottom w:w="60" w:type="dxa"/>
              <w:left w:w="80" w:type="dxa"/>
              <w:right w:w="80" w:type="dxa"/>
            </w:tcMar>
          </w:tcPr>
          <w:p>
            <w:pPr>
              <w:spacing w:after="40" w:before="40"/>
              <w:jc w:val="left"/>
            </w:pPr>
            <w:r>
              <w:rPr>
                <w:rFonts w:ascii="Calibri" w:hAnsi="Calibri"/>
                <w:color w:val="333333"/>
                <w:sz w:val="16"/>
              </w:rPr>
              <w:t>Tabelle A (Dimension 3)</w:t>
            </w:r>
          </w:p>
        </w:tc>
        <w:tc>
          <w:tcPr>
            <w:tcW w:type="dxa" w:w="5760"/>
            <w:shd w:fill="F4F7FA" w:val="clear"/>
            <w:tcMar>
              <w:top w:w="60" w:type="dxa"/>
              <w:bottom w:w="60" w:type="dxa"/>
              <w:left w:w="80" w:type="dxa"/>
              <w:right w:w="80" w:type="dxa"/>
            </w:tcMar>
          </w:tcPr>
          <w:p>
            <w:pPr>
              <w:spacing w:after="40" w:before="40"/>
              <w:jc w:val="left"/>
            </w:pPr>
            <w:r>
              <w:rPr>
                <w:rFonts w:ascii="Calibri" w:hAnsi="Calibri"/>
                <w:color w:val="333333"/>
                <w:sz w:val="16"/>
              </w:rPr>
              <w:t>Wörtliche Definitionen aus Goodhue (1995) / Venkatesh (2003) vollständig übernommen.</w:t>
            </w:r>
          </w:p>
        </w:tc>
      </w:tr>
      <w:tr>
        <w:trPr>
          <w:cantSplit/>
        </w:trPr>
        <w:tc>
          <w:tcPr>
            <w:tcW w:type="dxa" w:w="2160"/>
            <w:shd w:fill="FFFFFF" w:val="clear"/>
            <w:tcMar>
              <w:top w:w="60" w:type="dxa"/>
              <w:bottom w:w="60" w:type="dxa"/>
              <w:left w:w="80" w:type="dxa"/>
              <w:right w:w="80" w:type="dxa"/>
            </w:tcMar>
          </w:tcPr>
          <w:p>
            <w:pPr>
              <w:spacing w:after="40" w:before="40"/>
              <w:jc w:val="left"/>
            </w:pPr>
            <w:r>
              <w:rPr>
                <w:rFonts w:ascii="Calibri" w:hAnsi="Calibri"/>
                <w:color w:val="333333"/>
                <w:sz w:val="16"/>
              </w:rPr>
              <w:t>C1-S1-1..2</w:t>
            </w:r>
          </w:p>
        </w:tc>
        <w:tc>
          <w:tcPr>
            <w:tcW w:type="dxa" w:w="2880"/>
            <w:shd w:fill="FFFFFF" w:val="clear"/>
            <w:tcMar>
              <w:top w:w="60" w:type="dxa"/>
              <w:bottom w:w="60" w:type="dxa"/>
              <w:left w:w="80" w:type="dxa"/>
              <w:right w:w="80" w:type="dxa"/>
            </w:tcMar>
          </w:tcPr>
          <w:p>
            <w:pPr>
              <w:spacing w:after="40" w:before="40"/>
              <w:jc w:val="left"/>
            </w:pPr>
            <w:r>
              <w:rPr>
                <w:rFonts w:ascii="Calibri" w:hAnsi="Calibri"/>
                <w:color w:val="333333"/>
                <w:sz w:val="16"/>
              </w:rPr>
              <w:t>Tabelle A (Dimension 4)</w:t>
            </w:r>
          </w:p>
        </w:tc>
        <w:tc>
          <w:tcPr>
            <w:tcW w:type="dxa" w:w="5760"/>
            <w:shd w:fill="FFFFFF" w:val="clear"/>
            <w:tcMar>
              <w:top w:w="60" w:type="dxa"/>
              <w:bottom w:w="60" w:type="dxa"/>
              <w:left w:w="80" w:type="dxa"/>
              <w:right w:w="80" w:type="dxa"/>
            </w:tcMar>
          </w:tcPr>
          <w:p>
            <w:pPr>
              <w:spacing w:after="40" w:before="40"/>
              <w:jc w:val="left"/>
            </w:pPr>
            <w:r>
              <w:rPr>
                <w:rFonts w:ascii="Calibri" w:hAnsi="Calibri"/>
                <w:color w:val="333333"/>
                <w:sz w:val="16"/>
              </w:rPr>
              <w:t>Wörtliche Definitionen aus Carolus et al. (2023) übernommen.</w:t>
            </w:r>
          </w:p>
        </w:tc>
      </w:tr>
      <w:tr>
        <w:trPr>
          <w:cantSplit/>
        </w:trPr>
        <w:tc>
          <w:tcPr>
            <w:tcW w:type="dxa" w:w="2160"/>
            <w:shd w:fill="F4F7FA" w:val="clear"/>
            <w:tcMar>
              <w:top w:w="60" w:type="dxa"/>
              <w:bottom w:w="60" w:type="dxa"/>
              <w:left w:w="80" w:type="dxa"/>
              <w:right w:w="80" w:type="dxa"/>
            </w:tcMar>
          </w:tcPr>
          <w:p>
            <w:pPr>
              <w:spacing w:after="40" w:before="40"/>
              <w:jc w:val="left"/>
            </w:pPr>
            <w:r>
              <w:rPr>
                <w:rFonts w:ascii="Calibri" w:hAnsi="Calibri"/>
                <w:color w:val="333333"/>
                <w:sz w:val="16"/>
              </w:rPr>
              <w:t>C1-S2-1..2</w:t>
            </w:r>
          </w:p>
        </w:tc>
        <w:tc>
          <w:tcPr>
            <w:tcW w:type="dxa" w:w="2880"/>
            <w:shd w:fill="F4F7FA" w:val="clear"/>
            <w:tcMar>
              <w:top w:w="60" w:type="dxa"/>
              <w:bottom w:w="60" w:type="dxa"/>
              <w:left w:w="80" w:type="dxa"/>
              <w:right w:w="80" w:type="dxa"/>
            </w:tcMar>
          </w:tcPr>
          <w:p>
            <w:pPr>
              <w:spacing w:after="40" w:before="40"/>
              <w:jc w:val="left"/>
            </w:pPr>
            <w:r>
              <w:rPr>
                <w:rFonts w:ascii="Calibri" w:hAnsi="Calibri"/>
                <w:color w:val="333333"/>
                <w:sz w:val="16"/>
              </w:rPr>
              <w:t>Tabelle A (Dimension 5)</w:t>
            </w:r>
          </w:p>
        </w:tc>
        <w:tc>
          <w:tcPr>
            <w:tcW w:type="dxa" w:w="5760"/>
            <w:shd w:fill="F4F7FA" w:val="clear"/>
            <w:tcMar>
              <w:top w:w="60" w:type="dxa"/>
              <w:bottom w:w="60" w:type="dxa"/>
              <w:left w:w="80" w:type="dxa"/>
              <w:right w:w="80" w:type="dxa"/>
            </w:tcMar>
          </w:tcPr>
          <w:p>
            <w:pPr>
              <w:spacing w:after="40" w:before="40"/>
              <w:jc w:val="left"/>
            </w:pPr>
            <w:r>
              <w:rPr>
                <w:rFonts w:ascii="Calibri" w:hAnsi="Calibri"/>
                <w:color w:val="333333"/>
                <w:sz w:val="16"/>
              </w:rPr>
              <w:t>Operationalisierung aus Sindermann et al. (2021) in Tabelle A dokumentiert.</w:t>
            </w:r>
          </w:p>
        </w:tc>
      </w:tr>
    </w:tbl>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Seite </w:t>
    </w:r>
    <w:fldSimple w:instr="PAGE"/>
    <w:r>
      <w:rPr>
        <w:rFonts w:ascii="Calibri" w:hAnsi="Calibri"/>
        <w:color w:val="787878"/>
        <w:sz w:val="18"/>
      </w:rPr>
      <w:t xml:space="preserve"> von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Methodisches Gesamtdokument | KI-Readiness Microsoft Copilot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