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882F" w14:textId="77777777" w:rsidR="00543276" w:rsidRPr="00543276" w:rsidRDefault="00543276" w:rsidP="00E80725">
      <w:pPr>
        <w:shd w:val="clear" w:color="auto" w:fill="FFFFFF"/>
        <w:spacing w:after="300"/>
        <w:jc w:val="both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  <w:t>Scanning and Collaborative Wiki Activity</w:t>
      </w:r>
    </w:p>
    <w:p w14:paraId="376B6BA2" w14:textId="77777777" w:rsidR="00916284" w:rsidRDefault="00916284" w:rsidP="00E80725">
      <w:pPr>
        <w:jc w:val="both"/>
      </w:pPr>
    </w:p>
    <w:p w14:paraId="2DEC81BA" w14:textId="2CB5D04E" w:rsidR="00543276" w:rsidRPr="00123869" w:rsidRDefault="00543276" w:rsidP="00E80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What Operating System does the website utilise?</w:t>
      </w:r>
    </w:p>
    <w:p w14:paraId="56050DD0" w14:textId="30207109" w:rsidR="00BF45E2" w:rsidRPr="00543276" w:rsidRDefault="00BF45E2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The selected website (</w:t>
      </w:r>
      <w:r w:rsidR="00392A90" w:rsidRPr="00392A90">
        <w:rPr>
          <w:rFonts w:ascii="Arial" w:eastAsia="Times New Roman" w:hAnsi="Arial" w:cs="Arial"/>
          <w:color w:val="373A3C"/>
          <w:lang w:eastAsia="en-GB"/>
        </w:rPr>
        <w:t>ehr-online.co.uk/</w:t>
      </w:r>
      <w:r>
        <w:rPr>
          <w:rFonts w:ascii="Arial" w:eastAsia="Times New Roman" w:hAnsi="Arial" w:cs="Arial"/>
          <w:color w:val="373A3C"/>
          <w:lang w:eastAsia="en-GB"/>
        </w:rPr>
        <w:t>)</w:t>
      </w:r>
      <w:r w:rsidR="00392A90">
        <w:rPr>
          <w:rFonts w:ascii="Arial" w:eastAsia="Times New Roman" w:hAnsi="Arial" w:cs="Arial"/>
          <w:color w:val="373A3C"/>
          <w:lang w:eastAsia="en-GB"/>
        </w:rPr>
        <w:t xml:space="preserve"> uses </w:t>
      </w:r>
      <w:r w:rsidR="008D4A1C">
        <w:rPr>
          <w:rFonts w:ascii="Arial" w:eastAsia="Times New Roman" w:hAnsi="Arial" w:cs="Arial"/>
          <w:color w:val="373A3C"/>
          <w:lang w:eastAsia="en-GB"/>
        </w:rPr>
        <w:t xml:space="preserve">Linux </w:t>
      </w:r>
      <w:r w:rsidR="00392A90">
        <w:rPr>
          <w:rFonts w:ascii="Arial" w:eastAsia="Times New Roman" w:hAnsi="Arial" w:cs="Arial"/>
          <w:color w:val="373A3C"/>
          <w:lang w:eastAsia="en-GB"/>
        </w:rPr>
        <w:t>as its OS.</w:t>
      </w:r>
    </w:p>
    <w:p w14:paraId="6539864C" w14:textId="0E86BEA6" w:rsidR="00543276" w:rsidRPr="00123869" w:rsidRDefault="00543276" w:rsidP="00E80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What web server software is it running?</w:t>
      </w:r>
    </w:p>
    <w:p w14:paraId="624C8D7E" w14:textId="037D340C" w:rsidR="008D4A1C" w:rsidRPr="00543276" w:rsidRDefault="008D4A1C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The selected website (</w:t>
      </w:r>
      <w:r w:rsidRPr="00392A90">
        <w:rPr>
          <w:rFonts w:ascii="Arial" w:eastAsia="Times New Roman" w:hAnsi="Arial" w:cs="Arial"/>
          <w:color w:val="373A3C"/>
          <w:lang w:eastAsia="en-GB"/>
        </w:rPr>
        <w:t>ehr-online.co.uk/</w:t>
      </w:r>
      <w:r>
        <w:rPr>
          <w:rFonts w:ascii="Arial" w:eastAsia="Times New Roman" w:hAnsi="Arial" w:cs="Arial"/>
          <w:color w:val="373A3C"/>
          <w:lang w:eastAsia="en-GB"/>
        </w:rPr>
        <w:t xml:space="preserve">) uses </w:t>
      </w:r>
      <w:r>
        <w:rPr>
          <w:rFonts w:ascii="Arial" w:eastAsia="Times New Roman" w:hAnsi="Arial" w:cs="Arial"/>
          <w:color w:val="373A3C"/>
          <w:lang w:eastAsia="en-GB"/>
        </w:rPr>
        <w:t>Apache</w:t>
      </w:r>
      <w:r>
        <w:rPr>
          <w:rFonts w:ascii="Arial" w:eastAsia="Times New Roman" w:hAnsi="Arial" w:cs="Arial"/>
          <w:color w:val="373A3C"/>
          <w:lang w:eastAsia="en-GB"/>
        </w:rPr>
        <w:t xml:space="preserve"> as its </w:t>
      </w:r>
      <w:r>
        <w:rPr>
          <w:rFonts w:ascii="Arial" w:eastAsia="Times New Roman" w:hAnsi="Arial" w:cs="Arial"/>
          <w:color w:val="373A3C"/>
          <w:lang w:eastAsia="en-GB"/>
        </w:rPr>
        <w:t>web server</w:t>
      </w:r>
      <w:r>
        <w:rPr>
          <w:rFonts w:ascii="Arial" w:eastAsia="Times New Roman" w:hAnsi="Arial" w:cs="Arial"/>
          <w:color w:val="373A3C"/>
          <w:lang w:eastAsia="en-GB"/>
        </w:rPr>
        <w:t>.</w:t>
      </w:r>
    </w:p>
    <w:p w14:paraId="6AE2079E" w14:textId="7D386220" w:rsidR="00543276" w:rsidRPr="00123869" w:rsidRDefault="00543276" w:rsidP="00E80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Is it running a CMS (</w:t>
      </w:r>
      <w:r w:rsidR="00123869" w:rsidRPr="00543276">
        <w:rPr>
          <w:rFonts w:ascii="Arial" w:eastAsia="Times New Roman" w:hAnsi="Arial" w:cs="Arial"/>
          <w:b/>
          <w:bCs/>
          <w:color w:val="373A3C"/>
          <w:lang w:eastAsia="en-GB"/>
        </w:rPr>
        <w:t>WordPress</w:t>
      </w: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, Drupal, etc?)</w:t>
      </w:r>
    </w:p>
    <w:p w14:paraId="54D3BAFE" w14:textId="2C428E87" w:rsidR="00BD0D71" w:rsidRPr="00543276" w:rsidRDefault="00BD0D71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No, it is not running any CMS.</w:t>
      </w:r>
    </w:p>
    <w:p w14:paraId="7C4B3BD2" w14:textId="012A797F" w:rsidR="00543276" w:rsidRPr="00123869" w:rsidRDefault="00543276" w:rsidP="00E80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What protection does it have (CDN, Proxy, Firewall?)</w:t>
      </w:r>
    </w:p>
    <w:p w14:paraId="5583B209" w14:textId="2DA819E1" w:rsidR="004958EB" w:rsidRPr="00543276" w:rsidRDefault="004958EB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 xml:space="preserve">It does not have a firewall, but it </w:t>
      </w:r>
      <w:r w:rsidR="00830ADD">
        <w:rPr>
          <w:rFonts w:ascii="Arial" w:eastAsia="Times New Roman" w:hAnsi="Arial" w:cs="Arial"/>
          <w:color w:val="373A3C"/>
          <w:lang w:eastAsia="en-GB"/>
        </w:rPr>
        <w:t xml:space="preserve">has H2 </w:t>
      </w:r>
      <w:r w:rsidR="00123869">
        <w:rPr>
          <w:rFonts w:ascii="Arial" w:eastAsia="Times New Roman" w:hAnsi="Arial" w:cs="Arial"/>
          <w:color w:val="373A3C"/>
          <w:lang w:eastAsia="en-GB"/>
        </w:rPr>
        <w:t>Application-Level</w:t>
      </w:r>
      <w:r w:rsidR="00830ADD">
        <w:rPr>
          <w:rFonts w:ascii="Arial" w:eastAsia="Times New Roman" w:hAnsi="Arial" w:cs="Arial"/>
          <w:color w:val="373A3C"/>
          <w:lang w:eastAsia="en-GB"/>
        </w:rPr>
        <w:t xml:space="preserve"> Protocol Negotiation</w:t>
      </w:r>
      <w:r w:rsidR="00F62BD9">
        <w:rPr>
          <w:rFonts w:ascii="Arial" w:eastAsia="Times New Roman" w:hAnsi="Arial" w:cs="Arial"/>
          <w:color w:val="373A3C"/>
          <w:lang w:eastAsia="en-GB"/>
        </w:rPr>
        <w:t xml:space="preserve"> (ALPN)</w:t>
      </w:r>
      <w:r w:rsidR="00894574">
        <w:rPr>
          <w:rFonts w:ascii="Arial" w:eastAsia="Times New Roman" w:hAnsi="Arial" w:cs="Arial"/>
          <w:color w:val="373A3C"/>
          <w:lang w:eastAsia="en-GB"/>
        </w:rPr>
        <w:t>, which i</w:t>
      </w:r>
      <w:r w:rsidR="00894574" w:rsidRPr="00894574">
        <w:rPr>
          <w:rFonts w:ascii="Arial" w:eastAsia="Times New Roman" w:hAnsi="Arial" w:cs="Arial"/>
          <w:color w:val="373A3C"/>
          <w:lang w:eastAsia="en-GB"/>
        </w:rPr>
        <w:t xml:space="preserve">s a Transport Layer Security (TLS) extension that </w:t>
      </w:r>
      <w:r w:rsidR="00894574">
        <w:rPr>
          <w:rFonts w:ascii="Arial" w:eastAsia="Times New Roman" w:hAnsi="Arial" w:cs="Arial"/>
          <w:color w:val="373A3C"/>
          <w:lang w:eastAsia="en-GB"/>
        </w:rPr>
        <w:t>enables</w:t>
      </w:r>
      <w:r w:rsidR="00894574" w:rsidRPr="00894574">
        <w:rPr>
          <w:rFonts w:ascii="Arial" w:eastAsia="Times New Roman" w:hAnsi="Arial" w:cs="Arial"/>
          <w:color w:val="373A3C"/>
          <w:lang w:eastAsia="en-GB"/>
        </w:rPr>
        <w:t xml:space="preserve"> the application layer to negotiate which protocol should be performed </w:t>
      </w:r>
      <w:r w:rsidR="00894574">
        <w:rPr>
          <w:rFonts w:ascii="Arial" w:eastAsia="Times New Roman" w:hAnsi="Arial" w:cs="Arial"/>
          <w:color w:val="373A3C"/>
          <w:lang w:eastAsia="en-GB"/>
        </w:rPr>
        <w:t>via</w:t>
      </w:r>
      <w:r w:rsidR="00894574" w:rsidRPr="00894574">
        <w:rPr>
          <w:rFonts w:ascii="Arial" w:eastAsia="Times New Roman" w:hAnsi="Arial" w:cs="Arial"/>
          <w:color w:val="373A3C"/>
          <w:lang w:eastAsia="en-GB"/>
        </w:rPr>
        <w:t xml:space="preserve"> a secure connection.</w:t>
      </w:r>
    </w:p>
    <w:p w14:paraId="6D42D834" w14:textId="24573C2A" w:rsidR="00543276" w:rsidRPr="00123869" w:rsidRDefault="00543276" w:rsidP="00E80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Where is it hosted?</w:t>
      </w:r>
    </w:p>
    <w:p w14:paraId="41ABD90C" w14:textId="4BE7C043" w:rsidR="00535048" w:rsidRPr="00543276" w:rsidRDefault="00535048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It is hosted in Amsterdam, the Netherlands.</w:t>
      </w:r>
    </w:p>
    <w:p w14:paraId="386D38E7" w14:textId="799D7A96" w:rsidR="00543276" w:rsidRPr="00123869" w:rsidRDefault="00543276" w:rsidP="00E80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Does it have any open ports? Which did you expect to be open?</w:t>
      </w:r>
    </w:p>
    <w:p w14:paraId="2974C50E" w14:textId="1825ACF5" w:rsidR="004F5A14" w:rsidRPr="00543276" w:rsidRDefault="004F5A14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 xml:space="preserve">Yes, it has 13 open ports. </w:t>
      </w:r>
      <w:r w:rsidR="00C03525">
        <w:rPr>
          <w:rFonts w:ascii="Arial" w:eastAsia="Times New Roman" w:hAnsi="Arial" w:cs="Arial"/>
          <w:color w:val="373A3C"/>
          <w:lang w:eastAsia="en-GB"/>
        </w:rPr>
        <w:t xml:space="preserve">Nevertheless, the following </w:t>
      </w:r>
      <w:r w:rsidR="00BA4A8B">
        <w:rPr>
          <w:rFonts w:ascii="Arial" w:eastAsia="Times New Roman" w:hAnsi="Arial" w:cs="Arial"/>
          <w:color w:val="373A3C"/>
          <w:lang w:eastAsia="en-GB"/>
        </w:rPr>
        <w:t>4</w:t>
      </w:r>
      <w:r w:rsidR="002B2CA2">
        <w:rPr>
          <w:rFonts w:ascii="Arial" w:eastAsia="Times New Roman" w:hAnsi="Arial" w:cs="Arial"/>
          <w:color w:val="373A3C"/>
          <w:lang w:eastAsia="en-GB"/>
        </w:rPr>
        <w:t xml:space="preserve"> </w:t>
      </w:r>
      <w:r w:rsidR="00C03525">
        <w:rPr>
          <w:rFonts w:ascii="Arial" w:eastAsia="Times New Roman" w:hAnsi="Arial" w:cs="Arial"/>
          <w:color w:val="373A3C"/>
          <w:lang w:eastAsia="en-GB"/>
        </w:rPr>
        <w:t xml:space="preserve">ports are expected to be open: </w:t>
      </w:r>
      <w:r w:rsidR="001D0368">
        <w:rPr>
          <w:rFonts w:ascii="Arial" w:eastAsia="Times New Roman" w:hAnsi="Arial" w:cs="Arial"/>
          <w:color w:val="373A3C"/>
          <w:lang w:eastAsia="en-GB"/>
        </w:rPr>
        <w:t xml:space="preserve">port 53 for DNS; </w:t>
      </w:r>
      <w:r w:rsidR="008544CB">
        <w:rPr>
          <w:rFonts w:ascii="Arial" w:eastAsia="Times New Roman" w:hAnsi="Arial" w:cs="Arial"/>
          <w:color w:val="373A3C"/>
          <w:lang w:eastAsia="en-GB"/>
        </w:rPr>
        <w:t xml:space="preserve">port 443 for HTTPS (encrypted) traffic; </w:t>
      </w:r>
      <w:r w:rsidR="00CD7761">
        <w:rPr>
          <w:rFonts w:ascii="Arial" w:eastAsia="Times New Roman" w:hAnsi="Arial" w:cs="Arial"/>
          <w:color w:val="373A3C"/>
          <w:lang w:eastAsia="en-GB"/>
        </w:rPr>
        <w:t xml:space="preserve">port 993 as a </w:t>
      </w:r>
      <w:r w:rsidR="00CD7761" w:rsidRPr="00CD7761">
        <w:rPr>
          <w:rFonts w:ascii="Arial" w:eastAsia="Times New Roman" w:hAnsi="Arial" w:cs="Arial"/>
          <w:color w:val="373A3C"/>
          <w:lang w:eastAsia="en-GB"/>
        </w:rPr>
        <w:t>secure port for IMAP</w:t>
      </w:r>
      <w:r w:rsidR="00CD7761">
        <w:rPr>
          <w:rFonts w:ascii="Arial" w:eastAsia="Times New Roman" w:hAnsi="Arial" w:cs="Arial"/>
          <w:color w:val="373A3C"/>
          <w:lang w:eastAsia="en-GB"/>
        </w:rPr>
        <w:t xml:space="preserve">, which </w:t>
      </w:r>
      <w:r w:rsidR="00CD7761" w:rsidRPr="00CD7761">
        <w:rPr>
          <w:rFonts w:ascii="Arial" w:eastAsia="Times New Roman" w:hAnsi="Arial" w:cs="Arial"/>
          <w:color w:val="373A3C"/>
          <w:lang w:eastAsia="en-GB"/>
        </w:rPr>
        <w:t xml:space="preserve">works </w:t>
      </w:r>
      <w:r w:rsidR="00CD7761">
        <w:rPr>
          <w:rFonts w:ascii="Arial" w:eastAsia="Times New Roman" w:hAnsi="Arial" w:cs="Arial"/>
          <w:color w:val="373A3C"/>
          <w:lang w:eastAsia="en-GB"/>
        </w:rPr>
        <w:t>via</w:t>
      </w:r>
      <w:r w:rsidR="00CD7761" w:rsidRPr="00CD7761">
        <w:rPr>
          <w:rFonts w:ascii="Arial" w:eastAsia="Times New Roman" w:hAnsi="Arial" w:cs="Arial"/>
          <w:color w:val="373A3C"/>
          <w:lang w:eastAsia="en-GB"/>
        </w:rPr>
        <w:t xml:space="preserve"> TLS/SSL encryption</w:t>
      </w:r>
      <w:r w:rsidR="00CD7761">
        <w:rPr>
          <w:rFonts w:ascii="Arial" w:eastAsia="Times New Roman" w:hAnsi="Arial" w:cs="Arial"/>
          <w:color w:val="373A3C"/>
          <w:lang w:eastAsia="en-GB"/>
        </w:rPr>
        <w:t xml:space="preserve">; </w:t>
      </w:r>
      <w:r w:rsidR="00F94279">
        <w:rPr>
          <w:rFonts w:ascii="Arial" w:eastAsia="Times New Roman" w:hAnsi="Arial" w:cs="Arial"/>
          <w:color w:val="373A3C"/>
          <w:lang w:eastAsia="en-GB"/>
        </w:rPr>
        <w:t>port 995 as the</w:t>
      </w:r>
      <w:r w:rsidR="00F94279" w:rsidRPr="00F94279">
        <w:rPr>
          <w:rFonts w:ascii="Arial" w:eastAsia="Times New Roman" w:hAnsi="Arial" w:cs="Arial"/>
          <w:color w:val="373A3C"/>
          <w:lang w:eastAsia="en-GB"/>
        </w:rPr>
        <w:t xml:space="preserve"> encrypted port for POP3</w:t>
      </w:r>
      <w:r w:rsidR="00F94279">
        <w:rPr>
          <w:rFonts w:ascii="Arial" w:eastAsia="Times New Roman" w:hAnsi="Arial" w:cs="Arial"/>
          <w:color w:val="373A3C"/>
          <w:lang w:eastAsia="en-GB"/>
        </w:rPr>
        <w:t xml:space="preserve">, which also </w:t>
      </w:r>
      <w:r w:rsidR="00F94279" w:rsidRPr="00F94279">
        <w:rPr>
          <w:rFonts w:ascii="Arial" w:eastAsia="Times New Roman" w:hAnsi="Arial" w:cs="Arial"/>
          <w:color w:val="373A3C"/>
          <w:lang w:eastAsia="en-GB"/>
        </w:rPr>
        <w:t>works over TLS/SSL</w:t>
      </w:r>
      <w:r w:rsidR="00F94279">
        <w:rPr>
          <w:rFonts w:ascii="Arial" w:eastAsia="Times New Roman" w:hAnsi="Arial" w:cs="Arial"/>
          <w:color w:val="373A3C"/>
          <w:lang w:eastAsia="en-GB"/>
        </w:rPr>
        <w:t>.</w:t>
      </w:r>
    </w:p>
    <w:p w14:paraId="512CD30E" w14:textId="32AA4B5A" w:rsidR="00543276" w:rsidRPr="00123869" w:rsidRDefault="00543276" w:rsidP="00E80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543276">
        <w:rPr>
          <w:rFonts w:ascii="Arial" w:eastAsia="Times New Roman" w:hAnsi="Arial" w:cs="Arial"/>
          <w:b/>
          <w:bCs/>
          <w:color w:val="373A3C"/>
          <w:lang w:eastAsia="en-GB"/>
        </w:rPr>
        <w:t>Does the site have any known vulnerabilities?</w:t>
      </w:r>
      <w:r w:rsidR="00414B73" w:rsidRPr="00123869">
        <w:rPr>
          <w:rFonts w:ascii="Arial" w:eastAsia="Times New Roman" w:hAnsi="Arial" w:cs="Arial"/>
          <w:b/>
          <w:bCs/>
          <w:color w:val="373A3C"/>
          <w:lang w:eastAsia="en-GB"/>
        </w:rPr>
        <w:t xml:space="preserve"> </w:t>
      </w:r>
      <w:r w:rsidR="00414B73" w:rsidRPr="00543276">
        <w:rPr>
          <w:rFonts w:ascii="Arial" w:eastAsia="Times New Roman" w:hAnsi="Arial" w:cs="Arial"/>
          <w:b/>
          <w:bCs/>
          <w:color w:val="373A3C"/>
          <w:lang w:eastAsia="en-GB"/>
        </w:rPr>
        <w:t>What versions of software is it using? Are these patched so that they are up to date?</w:t>
      </w:r>
    </w:p>
    <w:p w14:paraId="14952939" w14:textId="148FF9B0" w:rsidR="007D1AFE" w:rsidRDefault="007D1AFE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 xml:space="preserve">Six </w:t>
      </w:r>
      <w:r w:rsidR="003516F8">
        <w:rPr>
          <w:rFonts w:ascii="Arial" w:eastAsia="Times New Roman" w:hAnsi="Arial" w:cs="Arial"/>
          <w:color w:val="373A3C"/>
          <w:lang w:eastAsia="en-GB"/>
        </w:rPr>
        <w:t xml:space="preserve">publicly known </w:t>
      </w:r>
      <w:r>
        <w:rPr>
          <w:rFonts w:ascii="Arial" w:eastAsia="Times New Roman" w:hAnsi="Arial" w:cs="Arial"/>
          <w:color w:val="373A3C"/>
          <w:lang w:eastAsia="en-GB"/>
        </w:rPr>
        <w:t xml:space="preserve">vulnerabilities </w:t>
      </w:r>
      <w:r w:rsidR="003516F8">
        <w:rPr>
          <w:rFonts w:ascii="Arial" w:eastAsia="Times New Roman" w:hAnsi="Arial" w:cs="Arial"/>
          <w:color w:val="373A3C"/>
          <w:lang w:eastAsia="en-GB"/>
        </w:rPr>
        <w:t xml:space="preserve">were identified </w:t>
      </w:r>
      <w:r>
        <w:rPr>
          <w:rFonts w:ascii="Arial" w:eastAsia="Times New Roman" w:hAnsi="Arial" w:cs="Arial"/>
          <w:color w:val="373A3C"/>
          <w:lang w:eastAsia="en-GB"/>
        </w:rPr>
        <w:t>due to running an outdated version (1.4.3) of jQuery, including cross-site scripting and prototype pollution,</w:t>
      </w:r>
      <w:r w:rsidR="003516F8">
        <w:rPr>
          <w:rFonts w:ascii="Arial" w:eastAsia="Times New Roman" w:hAnsi="Arial" w:cs="Arial"/>
          <w:color w:val="373A3C"/>
          <w:lang w:eastAsia="en-GB"/>
        </w:rPr>
        <w:t xml:space="preserve"> as ranked in descending order of</w:t>
      </w:r>
      <w:r w:rsidR="004233C8">
        <w:rPr>
          <w:rFonts w:ascii="Arial" w:eastAsia="Times New Roman" w:hAnsi="Arial" w:cs="Arial"/>
          <w:color w:val="373A3C"/>
          <w:lang w:eastAsia="en-GB"/>
        </w:rPr>
        <w:t xml:space="preserve"> their</w:t>
      </w:r>
      <w:r w:rsidR="003516F8">
        <w:rPr>
          <w:rFonts w:ascii="Arial" w:eastAsia="Times New Roman" w:hAnsi="Arial" w:cs="Arial"/>
          <w:color w:val="373A3C"/>
          <w:lang w:eastAsia="en-GB"/>
        </w:rPr>
        <w:t xml:space="preserve"> CVSSv3.1 </w:t>
      </w:r>
      <w:r w:rsidR="00123869">
        <w:rPr>
          <w:rFonts w:ascii="Arial" w:eastAsia="Times New Roman" w:hAnsi="Arial" w:cs="Arial"/>
          <w:color w:val="373A3C"/>
          <w:lang w:eastAsia="en-GB"/>
        </w:rPr>
        <w:t>s</w:t>
      </w:r>
      <w:r w:rsidR="003516F8">
        <w:rPr>
          <w:rFonts w:ascii="Arial" w:eastAsia="Times New Roman" w:hAnsi="Arial" w:cs="Arial"/>
          <w:color w:val="373A3C"/>
          <w:lang w:eastAsia="en-GB"/>
        </w:rPr>
        <w:t>core in the table below. This component should be urgently updated to the latest version 3.6.0.</w:t>
      </w:r>
    </w:p>
    <w:p w14:paraId="38032FAF" w14:textId="2C2EA5A3" w:rsidR="00BA4A8B" w:rsidRDefault="00BA4A8B" w:rsidP="00E8072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 xml:space="preserve">The 9 ports that should not be open </w:t>
      </w:r>
      <w:r w:rsidR="00444D3E">
        <w:rPr>
          <w:rFonts w:ascii="Arial" w:eastAsia="Times New Roman" w:hAnsi="Arial" w:cs="Arial"/>
          <w:color w:val="373A3C"/>
          <w:lang w:eastAsia="en-GB"/>
        </w:rPr>
        <w:t xml:space="preserve">may </w:t>
      </w:r>
      <w:r w:rsidR="00444D3E" w:rsidRPr="00444D3E">
        <w:rPr>
          <w:rFonts w:ascii="Arial" w:eastAsia="Times New Roman" w:hAnsi="Arial" w:cs="Arial"/>
          <w:color w:val="373A3C"/>
          <w:lang w:eastAsia="en-GB"/>
        </w:rPr>
        <w:t xml:space="preserve">be dangerous when the service listening on </w:t>
      </w:r>
      <w:r w:rsidR="00444D3E">
        <w:rPr>
          <w:rFonts w:ascii="Arial" w:eastAsia="Times New Roman" w:hAnsi="Arial" w:cs="Arial"/>
          <w:color w:val="373A3C"/>
          <w:lang w:eastAsia="en-GB"/>
        </w:rPr>
        <w:t>such</w:t>
      </w:r>
      <w:r w:rsidR="00444D3E" w:rsidRPr="00444D3E">
        <w:rPr>
          <w:rFonts w:ascii="Arial" w:eastAsia="Times New Roman" w:hAnsi="Arial" w:cs="Arial"/>
          <w:color w:val="373A3C"/>
          <w:lang w:eastAsia="en-GB"/>
        </w:rPr>
        <w:t xml:space="preserve"> port</w:t>
      </w:r>
      <w:r w:rsidR="00444D3E">
        <w:rPr>
          <w:rFonts w:ascii="Arial" w:eastAsia="Times New Roman" w:hAnsi="Arial" w:cs="Arial"/>
          <w:color w:val="373A3C"/>
          <w:lang w:eastAsia="en-GB"/>
        </w:rPr>
        <w:t>s</w:t>
      </w:r>
      <w:r w:rsidR="00444D3E" w:rsidRPr="00444D3E">
        <w:rPr>
          <w:rFonts w:ascii="Arial" w:eastAsia="Times New Roman" w:hAnsi="Arial" w:cs="Arial"/>
          <w:color w:val="373A3C"/>
          <w:lang w:eastAsia="en-GB"/>
        </w:rPr>
        <w:t xml:space="preserve"> is </w:t>
      </w:r>
      <w:r w:rsidR="00E20D51">
        <w:rPr>
          <w:rFonts w:ascii="Arial" w:eastAsia="Times New Roman" w:hAnsi="Arial" w:cs="Arial"/>
          <w:color w:val="373A3C"/>
          <w:lang w:eastAsia="en-GB"/>
        </w:rPr>
        <w:t>not configured properly</w:t>
      </w:r>
      <w:r w:rsidR="00444D3E" w:rsidRPr="00444D3E">
        <w:rPr>
          <w:rFonts w:ascii="Arial" w:eastAsia="Times New Roman" w:hAnsi="Arial" w:cs="Arial"/>
          <w:color w:val="373A3C"/>
          <w:lang w:eastAsia="en-GB"/>
        </w:rPr>
        <w:t xml:space="preserve">, </w:t>
      </w:r>
      <w:r w:rsidR="00E20D51">
        <w:rPr>
          <w:rFonts w:ascii="Arial" w:eastAsia="Times New Roman" w:hAnsi="Arial" w:cs="Arial"/>
          <w:color w:val="373A3C"/>
          <w:lang w:eastAsia="en-GB"/>
        </w:rPr>
        <w:t>without the required patches</w:t>
      </w:r>
      <w:r w:rsidR="00444D3E" w:rsidRPr="00444D3E">
        <w:rPr>
          <w:rFonts w:ascii="Arial" w:eastAsia="Times New Roman" w:hAnsi="Arial" w:cs="Arial"/>
          <w:color w:val="373A3C"/>
          <w:lang w:eastAsia="en-GB"/>
        </w:rPr>
        <w:t>, vulnerable to exploits, or has poor network security.</w:t>
      </w:r>
    </w:p>
    <w:tbl>
      <w:tblPr>
        <w:tblW w:w="889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889"/>
        <w:gridCol w:w="3902"/>
      </w:tblGrid>
      <w:tr w:rsidR="003516F8" w:rsidRPr="00082668" w14:paraId="1EB62505" w14:textId="77777777" w:rsidTr="00945557">
        <w:trPr>
          <w:tblHeader/>
          <w:jc w:val="center"/>
        </w:trPr>
        <w:tc>
          <w:tcPr>
            <w:tcW w:w="2100" w:type="dxa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F1F8FC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C7931DE" w14:textId="2566FC20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CVSSv3.1 </w:t>
            </w:r>
            <w:r w:rsidR="00123869" w:rsidRPr="00082668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F1F8FC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07ACA99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Vulnerability CVE-ID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F1F8FC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BB04DC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Vulnerability Type</w:t>
            </w:r>
          </w:p>
        </w:tc>
      </w:tr>
      <w:tr w:rsidR="003516F8" w:rsidRPr="00082668" w14:paraId="1A8513A6" w14:textId="77777777" w:rsidTr="00945557">
        <w:trPr>
          <w:jc w:val="center"/>
        </w:trPr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CB6F407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5.5 Medium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BC87C3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lang w:eastAsia="en-GB"/>
              </w:rPr>
              <w:t>CVE-2020-7656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8B107CC" w14:textId="1B0D2E4F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u w:val="single"/>
                <w:bdr w:val="none" w:sz="0" w:space="0" w:color="auto" w:frame="1"/>
                <w:lang w:eastAsia="en-GB"/>
              </w:rPr>
              <w:t>CWE-79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—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 xml:space="preserve"> Cross-site scripting</w:t>
            </w:r>
          </w:p>
        </w:tc>
      </w:tr>
      <w:tr w:rsidR="003516F8" w:rsidRPr="00082668" w14:paraId="50BFE669" w14:textId="77777777" w:rsidTr="00945557">
        <w:trPr>
          <w:jc w:val="center"/>
        </w:trPr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E4F886A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5.5 Medium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C3144CA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lang w:eastAsia="en-GB"/>
              </w:rPr>
              <w:t>CVE-2020-11022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928E402" w14:textId="669158ED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u w:val="single"/>
                <w:bdr w:val="none" w:sz="0" w:space="0" w:color="auto" w:frame="1"/>
                <w:lang w:eastAsia="en-GB"/>
              </w:rPr>
              <w:t>CWE-79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 — Cross-site scripting</w:t>
            </w:r>
          </w:p>
        </w:tc>
      </w:tr>
      <w:tr w:rsidR="003516F8" w:rsidRPr="00082668" w14:paraId="067DE7D2" w14:textId="77777777" w:rsidTr="00945557">
        <w:trPr>
          <w:jc w:val="center"/>
        </w:trPr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CF72122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5.3 Medium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BF1122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lang w:eastAsia="en-GB"/>
              </w:rPr>
              <w:t>CVE-2015-9251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00121E3" w14:textId="28F41ADC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u w:val="single"/>
                <w:bdr w:val="none" w:sz="0" w:space="0" w:color="auto" w:frame="1"/>
                <w:lang w:eastAsia="en-GB"/>
              </w:rPr>
              <w:t>CWE-79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 — Cross-site scripting</w:t>
            </w:r>
          </w:p>
        </w:tc>
      </w:tr>
      <w:tr w:rsidR="003516F8" w:rsidRPr="00082668" w14:paraId="43FD3A13" w14:textId="77777777" w:rsidTr="00945557">
        <w:trPr>
          <w:jc w:val="center"/>
        </w:trPr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7331B6A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5.3 Medium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AF66DB" w14:textId="2DB1C255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lang w:eastAsia="en-GB"/>
              </w:rPr>
              <w:t>Not Assigned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A09C5FC" w14:textId="09FD808E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u w:val="single"/>
                <w:bdr w:val="none" w:sz="0" w:space="0" w:color="auto" w:frame="1"/>
                <w:lang w:eastAsia="en-GB"/>
              </w:rPr>
              <w:t>CWE-79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 — Cross-site scripting</w:t>
            </w:r>
          </w:p>
        </w:tc>
      </w:tr>
      <w:tr w:rsidR="003516F8" w:rsidRPr="00082668" w14:paraId="4F944016" w14:textId="77777777" w:rsidTr="00945557">
        <w:trPr>
          <w:jc w:val="center"/>
        </w:trPr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4A9C976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4.8 Medium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0A2968C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lang w:eastAsia="en-GB"/>
              </w:rPr>
              <w:t>CVE-2019-11358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8765B2A" w14:textId="7FDFB5BE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u w:val="single"/>
                <w:bdr w:val="none" w:sz="0" w:space="0" w:color="auto" w:frame="1"/>
                <w:lang w:eastAsia="en-GB"/>
              </w:rPr>
              <w:t>CWE-400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 — Prototype pollution</w:t>
            </w:r>
          </w:p>
        </w:tc>
      </w:tr>
      <w:tr w:rsidR="003516F8" w:rsidRPr="00082668" w14:paraId="456F8126" w14:textId="77777777" w:rsidTr="00945557">
        <w:trPr>
          <w:jc w:val="center"/>
        </w:trPr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56B6011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4.1 Medium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3511803" w14:textId="77777777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lang w:eastAsia="en-GB"/>
              </w:rPr>
              <w:t>CVE-2020-11023</w:t>
            </w:r>
          </w:p>
        </w:tc>
        <w:tc>
          <w:tcPr>
            <w:tcW w:w="0" w:type="auto"/>
            <w:tcBorders>
              <w:top w:val="single" w:sz="6" w:space="0" w:color="CDDEEB"/>
              <w:left w:val="single" w:sz="6" w:space="0" w:color="CDDEEB"/>
              <w:bottom w:val="single" w:sz="6" w:space="0" w:color="CDDEEB"/>
              <w:right w:val="single" w:sz="6" w:space="0" w:color="CDDEEB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912E888" w14:textId="39742B10" w:rsidR="003516F8" w:rsidRPr="00082668" w:rsidRDefault="003516F8" w:rsidP="00E80725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82668">
              <w:rPr>
                <w:rFonts w:ascii="Times New Roman" w:eastAsia="Times New Roman" w:hAnsi="Times New Roman" w:cs="Times New Roman"/>
                <w:u w:val="single"/>
                <w:bdr w:val="none" w:sz="0" w:space="0" w:color="auto" w:frame="1"/>
                <w:lang w:eastAsia="en-GB"/>
              </w:rPr>
              <w:t>CWE-79</w:t>
            </w:r>
            <w:r w:rsidRPr="00082668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 — Cross-site scripting</w:t>
            </w:r>
          </w:p>
        </w:tc>
      </w:tr>
    </w:tbl>
    <w:p w14:paraId="02092077" w14:textId="77777777" w:rsidR="00082668" w:rsidRDefault="00082668" w:rsidP="00E80725">
      <w:pPr>
        <w:jc w:val="both"/>
      </w:pPr>
    </w:p>
    <w:p w14:paraId="141A4FFB" w14:textId="010C6C6B" w:rsidR="008675AE" w:rsidRPr="00123869" w:rsidRDefault="008675AE" w:rsidP="00E807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8675AE">
        <w:rPr>
          <w:rFonts w:ascii="Arial" w:eastAsia="Times New Roman" w:hAnsi="Arial" w:cs="Arial"/>
          <w:b/>
          <w:bCs/>
          <w:color w:val="373A3C"/>
          <w:lang w:eastAsia="en-GB"/>
        </w:rPr>
        <w:t>Did you have any issues or challenges with the scans?</w:t>
      </w:r>
    </w:p>
    <w:p w14:paraId="54A7F127" w14:textId="7FA7CBFE" w:rsidR="008675AE" w:rsidRPr="008675AE" w:rsidRDefault="008675AE" w:rsidP="00E8072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lastRenderedPageBreak/>
        <w:t>No, I did not.</w:t>
      </w:r>
    </w:p>
    <w:p w14:paraId="507B0E4C" w14:textId="6349C13D" w:rsidR="008675AE" w:rsidRPr="00123869" w:rsidRDefault="008675AE" w:rsidP="00E807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8675AE">
        <w:rPr>
          <w:rFonts w:ascii="Arial" w:eastAsia="Times New Roman" w:hAnsi="Arial" w:cs="Arial"/>
          <w:b/>
          <w:bCs/>
          <w:color w:val="373A3C"/>
          <w:lang w:eastAsia="en-GB"/>
        </w:rPr>
        <w:t>How did you overcome them?</w:t>
      </w:r>
    </w:p>
    <w:p w14:paraId="1F8725A4" w14:textId="0FA1F4D7" w:rsidR="008675AE" w:rsidRPr="008675AE" w:rsidRDefault="008675AE" w:rsidP="00E8072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 xml:space="preserve">Besides leveraging the tools on Kali Linux, I </w:t>
      </w:r>
      <w:r w:rsidR="00E67458">
        <w:rPr>
          <w:rFonts w:ascii="Arial" w:eastAsia="Times New Roman" w:hAnsi="Arial" w:cs="Arial"/>
          <w:color w:val="373A3C"/>
          <w:lang w:eastAsia="en-GB"/>
        </w:rPr>
        <w:t>leveraged online scanners too, which are tailored to specific tasks, such as CMS detection for instance.</w:t>
      </w:r>
    </w:p>
    <w:p w14:paraId="0EE984EE" w14:textId="33E5C6EE" w:rsidR="008675AE" w:rsidRPr="00123869" w:rsidRDefault="008675AE" w:rsidP="00E8072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Arial" w:eastAsia="Times New Roman" w:hAnsi="Arial" w:cs="Arial"/>
          <w:b/>
          <w:bCs/>
          <w:color w:val="373A3C"/>
          <w:lang w:eastAsia="en-GB"/>
        </w:rPr>
      </w:pPr>
      <w:r w:rsidRPr="008675AE">
        <w:rPr>
          <w:rFonts w:ascii="Arial" w:eastAsia="Times New Roman" w:hAnsi="Arial" w:cs="Arial"/>
          <w:b/>
          <w:bCs/>
          <w:color w:val="373A3C"/>
          <w:lang w:eastAsia="en-GB"/>
        </w:rPr>
        <w:t>How will they affect your final report?</w:t>
      </w:r>
    </w:p>
    <w:p w14:paraId="110D7287" w14:textId="13681D89" w:rsidR="008561B8" w:rsidRPr="008561B8" w:rsidRDefault="008561B8" w:rsidP="00E8072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73A3C"/>
          <w:lang w:eastAsia="en-GB"/>
        </w:rPr>
      </w:pPr>
      <w:r>
        <w:rPr>
          <w:rFonts w:ascii="Arial" w:eastAsia="Times New Roman" w:hAnsi="Arial" w:cs="Arial"/>
          <w:color w:val="373A3C"/>
          <w:lang w:eastAsia="en-GB"/>
        </w:rPr>
        <w:t>I will continue to leverage multiple tools for deriving more comprehensive findings and recommendations in the final report.</w:t>
      </w:r>
    </w:p>
    <w:sectPr w:rsidR="008561B8" w:rsidRPr="0085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4EAF"/>
    <w:multiLevelType w:val="multilevel"/>
    <w:tmpl w:val="B94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D47"/>
    <w:multiLevelType w:val="multilevel"/>
    <w:tmpl w:val="A78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072543">
    <w:abstractNumId w:val="0"/>
  </w:num>
  <w:num w:numId="2" w16cid:durableId="156699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76"/>
    <w:rsid w:val="00082668"/>
    <w:rsid w:val="00096884"/>
    <w:rsid w:val="00123869"/>
    <w:rsid w:val="001624B7"/>
    <w:rsid w:val="001D0368"/>
    <w:rsid w:val="002B2CA2"/>
    <w:rsid w:val="003516F8"/>
    <w:rsid w:val="00392A90"/>
    <w:rsid w:val="00414B73"/>
    <w:rsid w:val="004233C8"/>
    <w:rsid w:val="00444D3E"/>
    <w:rsid w:val="004958EB"/>
    <w:rsid w:val="004F5A14"/>
    <w:rsid w:val="00535048"/>
    <w:rsid w:val="00543276"/>
    <w:rsid w:val="007D1AFE"/>
    <w:rsid w:val="007E08E2"/>
    <w:rsid w:val="00830ADD"/>
    <w:rsid w:val="008544CB"/>
    <w:rsid w:val="008561B8"/>
    <w:rsid w:val="008675AE"/>
    <w:rsid w:val="00894574"/>
    <w:rsid w:val="008D4A1C"/>
    <w:rsid w:val="00916284"/>
    <w:rsid w:val="009806EE"/>
    <w:rsid w:val="00BA4A8B"/>
    <w:rsid w:val="00BD0D71"/>
    <w:rsid w:val="00BF45E2"/>
    <w:rsid w:val="00C03525"/>
    <w:rsid w:val="00CD7761"/>
    <w:rsid w:val="00E20D51"/>
    <w:rsid w:val="00E67458"/>
    <w:rsid w:val="00E80725"/>
    <w:rsid w:val="00F62BD9"/>
    <w:rsid w:val="00F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AD55"/>
  <w15:chartTrackingRefBased/>
  <w15:docId w15:val="{66BCE28C-487D-AE4E-8DB1-2166066C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2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27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32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82668"/>
    <w:rPr>
      <w:b/>
      <w:bCs/>
    </w:rPr>
  </w:style>
  <w:style w:type="character" w:customStyle="1" w:styleId="hideonmobile">
    <w:name w:val="hide_on_mobile"/>
    <w:basedOn w:val="DefaultParagraphFont"/>
    <w:rsid w:val="00082668"/>
  </w:style>
  <w:style w:type="character" w:customStyle="1" w:styleId="tooltipster">
    <w:name w:val="tooltipster"/>
    <w:basedOn w:val="DefaultParagraphFont"/>
    <w:rsid w:val="00082668"/>
  </w:style>
  <w:style w:type="character" w:styleId="Hyperlink">
    <w:name w:val="Hyperlink"/>
    <w:basedOn w:val="DefaultParagraphFont"/>
    <w:uiPriority w:val="99"/>
    <w:semiHidden/>
    <w:unhideWhenUsed/>
    <w:rsid w:val="00082668"/>
    <w:rPr>
      <w:color w:val="0000FF"/>
      <w:u w:val="single"/>
    </w:rPr>
  </w:style>
  <w:style w:type="character" w:customStyle="1" w:styleId="like-link">
    <w:name w:val="like-link"/>
    <w:basedOn w:val="DefaultParagraphFont"/>
    <w:rsid w:val="00082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34</cp:revision>
  <dcterms:created xsi:type="dcterms:W3CDTF">2022-07-08T20:54:00Z</dcterms:created>
  <dcterms:modified xsi:type="dcterms:W3CDTF">2022-07-08T21:47:00Z</dcterms:modified>
</cp:coreProperties>
</file>