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ECF9" w14:textId="1834DAFC" w:rsidR="00EF7A9E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r w:rsidRPr="001A2988">
        <w:rPr>
          <w:rFonts w:ascii="Calibri" w:hAnsi="Calibri" w:cs="Calibri"/>
          <w:color w:val="373A3C"/>
        </w:rPr>
        <w:t>A ‘fully digital enterprise’ is an organisation that has no barriers between its business units and others in the value chain (</w:t>
      </w:r>
      <w:proofErr w:type="spellStart"/>
      <w:r w:rsidRPr="001A2988">
        <w:rPr>
          <w:rFonts w:ascii="Calibri" w:hAnsi="Calibri" w:cs="Calibri"/>
          <w:color w:val="373A3C"/>
        </w:rPr>
        <w:t>Banergi</w:t>
      </w:r>
      <w:proofErr w:type="spellEnd"/>
      <w:r w:rsidRPr="001A2988">
        <w:rPr>
          <w:rFonts w:ascii="Calibri" w:hAnsi="Calibri" w:cs="Calibri"/>
          <w:color w:val="373A3C"/>
        </w:rPr>
        <w:t>, 2019; Kargin et al., 2021). Such a company leverages a digital business model, harnessing the power of data and digital technologies to streamline relationships amongst various actors in the value chain and deliver further value to customers (</w:t>
      </w:r>
      <w:proofErr w:type="spellStart"/>
      <w:r w:rsidRPr="001A2988">
        <w:rPr>
          <w:rFonts w:ascii="Calibri" w:hAnsi="Calibri" w:cs="Calibri"/>
          <w:color w:val="373A3C"/>
        </w:rPr>
        <w:t>Banergi</w:t>
      </w:r>
      <w:proofErr w:type="spellEnd"/>
      <w:r w:rsidRPr="001A2988">
        <w:rPr>
          <w:rFonts w:ascii="Calibri" w:hAnsi="Calibri" w:cs="Calibri"/>
          <w:color w:val="373A3C"/>
        </w:rPr>
        <w:t>, 2019; Mordecai et al., 2022).</w:t>
      </w:r>
    </w:p>
    <w:p w14:paraId="58DAFEA6" w14:textId="0CB8093A" w:rsidR="00EF7A9E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r w:rsidRPr="001A2988">
        <w:rPr>
          <w:rFonts w:ascii="Calibri" w:hAnsi="Calibri" w:cs="Calibri"/>
          <w:color w:val="373A3C"/>
        </w:rPr>
        <w:t xml:space="preserve">Whilst fully digital enterprises have IT departments </w:t>
      </w:r>
      <w:r w:rsidR="001A2988" w:rsidRPr="001A2988">
        <w:rPr>
          <w:rFonts w:ascii="Calibri" w:hAnsi="Calibri" w:cs="Calibri"/>
          <w:color w:val="373A3C"/>
        </w:rPr>
        <w:t>dedicated to</w:t>
      </w:r>
      <w:r w:rsidRPr="001A2988">
        <w:rPr>
          <w:rFonts w:ascii="Calibri" w:hAnsi="Calibri" w:cs="Calibri"/>
          <w:color w:val="373A3C"/>
        </w:rPr>
        <w:t xml:space="preserve"> cyber security, employees may not be involved in safeguarding it collectively (</w:t>
      </w:r>
      <w:proofErr w:type="spellStart"/>
      <w:r w:rsidRPr="001A2988">
        <w:rPr>
          <w:rFonts w:ascii="Calibri" w:hAnsi="Calibri" w:cs="Calibri"/>
          <w:color w:val="373A3C"/>
        </w:rPr>
        <w:t>Spreić</w:t>
      </w:r>
      <w:proofErr w:type="spellEnd"/>
      <w:r w:rsidRPr="001A2988">
        <w:rPr>
          <w:rFonts w:ascii="Calibri" w:hAnsi="Calibri" w:cs="Calibri"/>
          <w:color w:val="373A3C"/>
        </w:rPr>
        <w:t xml:space="preserve"> &amp; </w:t>
      </w:r>
      <w:proofErr w:type="spellStart"/>
      <w:r w:rsidRPr="001A2988">
        <w:rPr>
          <w:rFonts w:ascii="Calibri" w:hAnsi="Calibri" w:cs="Calibri"/>
          <w:color w:val="373A3C"/>
        </w:rPr>
        <w:t>Šimunic</w:t>
      </w:r>
      <w:proofErr w:type="spellEnd"/>
      <w:r w:rsidRPr="001A2988">
        <w:rPr>
          <w:rFonts w:ascii="Calibri" w:hAnsi="Calibri" w:cs="Calibri"/>
          <w:color w:val="373A3C"/>
        </w:rPr>
        <w:t xml:space="preserve">, 2018). Thus, </w:t>
      </w:r>
      <w:proofErr w:type="spellStart"/>
      <w:r w:rsidRPr="001A2988">
        <w:rPr>
          <w:rFonts w:ascii="Calibri" w:hAnsi="Calibri" w:cs="Calibri"/>
          <w:color w:val="373A3C"/>
        </w:rPr>
        <w:t>Spreić</w:t>
      </w:r>
      <w:proofErr w:type="spellEnd"/>
      <w:r w:rsidRPr="001A2988">
        <w:rPr>
          <w:rFonts w:ascii="Calibri" w:hAnsi="Calibri" w:cs="Calibri"/>
          <w:color w:val="373A3C"/>
        </w:rPr>
        <w:t xml:space="preserve"> &amp; </w:t>
      </w:r>
      <w:proofErr w:type="spellStart"/>
      <w:r w:rsidRPr="001A2988">
        <w:rPr>
          <w:rFonts w:ascii="Calibri" w:hAnsi="Calibri" w:cs="Calibri"/>
          <w:color w:val="373A3C"/>
        </w:rPr>
        <w:t>Šimunic</w:t>
      </w:r>
      <w:proofErr w:type="spellEnd"/>
      <w:r w:rsidRPr="001A2988">
        <w:rPr>
          <w:rFonts w:ascii="Calibri" w:hAnsi="Calibri" w:cs="Calibri"/>
          <w:color w:val="373A3C"/>
        </w:rPr>
        <w:t xml:space="preserve"> (2018) suggested adopting a holistic approach to establish company-wide cultural initiatives to ensure cyber security is an integral governance-related component of the organisation’s strategy.   </w:t>
      </w:r>
    </w:p>
    <w:p w14:paraId="6467F940" w14:textId="24F66FD3" w:rsidR="00EF7A9E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r w:rsidRPr="001A2988">
        <w:rPr>
          <w:rFonts w:ascii="Calibri" w:hAnsi="Calibri" w:cs="Calibri"/>
          <w:color w:val="373A3C"/>
        </w:rPr>
        <w:t>Bricks and mortar SMEs seeking to become a digital enterprise, besides implementing efficient checks to prevent cyber</w:t>
      </w:r>
      <w:r w:rsidR="001A2988" w:rsidRPr="001A2988">
        <w:rPr>
          <w:rFonts w:ascii="Calibri" w:hAnsi="Calibri" w:cs="Calibri"/>
          <w:color w:val="373A3C"/>
        </w:rPr>
        <w:t>-</w:t>
      </w:r>
      <w:r w:rsidRPr="001A2988">
        <w:rPr>
          <w:rFonts w:ascii="Calibri" w:hAnsi="Calibri" w:cs="Calibri"/>
          <w:color w:val="373A3C"/>
        </w:rPr>
        <w:t xml:space="preserve">attacks or detect them promptly, should </w:t>
      </w:r>
      <w:r w:rsidR="001A2988" w:rsidRPr="001A2988">
        <w:rPr>
          <w:rFonts w:ascii="Calibri" w:hAnsi="Calibri" w:cs="Calibri"/>
          <w:color w:val="373A3C"/>
        </w:rPr>
        <w:t>advance</w:t>
      </w:r>
      <w:r w:rsidRPr="001A2988">
        <w:rPr>
          <w:rFonts w:ascii="Calibri" w:hAnsi="Calibri" w:cs="Calibri"/>
          <w:color w:val="373A3C"/>
        </w:rPr>
        <w:t xml:space="preserve"> their knowledge and technologies to stay abreast of emerging cyber</w:t>
      </w:r>
      <w:r w:rsidR="001A2988" w:rsidRPr="001A2988">
        <w:rPr>
          <w:rFonts w:ascii="Calibri" w:hAnsi="Calibri" w:cs="Calibri"/>
          <w:color w:val="373A3C"/>
        </w:rPr>
        <w:t>-</w:t>
      </w:r>
      <w:r w:rsidRPr="001A2988">
        <w:rPr>
          <w:rFonts w:ascii="Calibri" w:hAnsi="Calibri" w:cs="Calibri"/>
          <w:color w:val="373A3C"/>
        </w:rPr>
        <w:t>attacks (</w:t>
      </w:r>
      <w:proofErr w:type="spellStart"/>
      <w:r w:rsidRPr="001A2988">
        <w:rPr>
          <w:rFonts w:ascii="Calibri" w:hAnsi="Calibri" w:cs="Calibri"/>
          <w:color w:val="373A3C"/>
        </w:rPr>
        <w:t>Spreić</w:t>
      </w:r>
      <w:proofErr w:type="spellEnd"/>
      <w:r w:rsidRPr="001A2988">
        <w:rPr>
          <w:rFonts w:ascii="Calibri" w:hAnsi="Calibri" w:cs="Calibri"/>
          <w:color w:val="373A3C"/>
        </w:rPr>
        <w:t xml:space="preserve"> &amp; </w:t>
      </w:r>
      <w:proofErr w:type="spellStart"/>
      <w:r w:rsidRPr="001A2988">
        <w:rPr>
          <w:rFonts w:ascii="Calibri" w:hAnsi="Calibri" w:cs="Calibri"/>
          <w:color w:val="373A3C"/>
        </w:rPr>
        <w:t>Šimunic</w:t>
      </w:r>
      <w:proofErr w:type="spellEnd"/>
      <w:r w:rsidRPr="001A2988">
        <w:rPr>
          <w:rFonts w:ascii="Calibri" w:hAnsi="Calibri" w:cs="Calibri"/>
          <w:color w:val="373A3C"/>
        </w:rPr>
        <w:t>, 2018).</w:t>
      </w:r>
    </w:p>
    <w:p w14:paraId="3E7BE5D3" w14:textId="1AA8DE3F" w:rsidR="0053061C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</w:rPr>
      </w:pPr>
      <w:r w:rsidRPr="001A2988">
        <w:rPr>
          <w:rFonts w:ascii="Calibri" w:hAnsi="Calibri" w:cs="Calibri"/>
          <w:color w:val="373A3C"/>
        </w:rPr>
        <w:t>In light of the energy crisis and conflicts faced in 2022 (</w:t>
      </w:r>
      <w:proofErr w:type="spellStart"/>
      <w:r w:rsidRPr="001A2988">
        <w:rPr>
          <w:rFonts w:ascii="Calibri" w:hAnsi="Calibri" w:cs="Calibri"/>
          <w:color w:val="373A3C"/>
        </w:rPr>
        <w:t>Johannesson</w:t>
      </w:r>
      <w:proofErr w:type="spellEnd"/>
      <w:r w:rsidRPr="001A2988">
        <w:rPr>
          <w:rFonts w:ascii="Calibri" w:hAnsi="Calibri" w:cs="Calibri"/>
          <w:color w:val="373A3C"/>
        </w:rPr>
        <w:t xml:space="preserve"> &amp; Clowes, 2022; </w:t>
      </w:r>
      <w:proofErr w:type="spellStart"/>
      <w:r w:rsidRPr="001A2988">
        <w:rPr>
          <w:rFonts w:ascii="Calibri" w:hAnsi="Calibri" w:cs="Calibri"/>
          <w:color w:val="373A3C"/>
        </w:rPr>
        <w:t>Liadze</w:t>
      </w:r>
      <w:proofErr w:type="spellEnd"/>
      <w:r w:rsidRPr="001A2988">
        <w:rPr>
          <w:rFonts w:ascii="Calibri" w:hAnsi="Calibri" w:cs="Calibri"/>
          <w:color w:val="373A3C"/>
        </w:rPr>
        <w:t xml:space="preserve"> et al., 2022), the idea of peer-to-peer energy trading (</w:t>
      </w:r>
      <w:proofErr w:type="spellStart"/>
      <w:r w:rsidRPr="001A2988">
        <w:rPr>
          <w:rFonts w:ascii="Calibri" w:hAnsi="Calibri" w:cs="Calibri"/>
          <w:color w:val="373A3C"/>
        </w:rPr>
        <w:t>Banergi</w:t>
      </w:r>
      <w:proofErr w:type="spellEnd"/>
      <w:r w:rsidRPr="001A2988">
        <w:rPr>
          <w:rFonts w:ascii="Calibri" w:hAnsi="Calibri" w:cs="Calibri"/>
          <w:color w:val="373A3C"/>
        </w:rPr>
        <w:t>, 2019) does not seem realistic, nor focusing on energy-related data services (</w:t>
      </w:r>
      <w:proofErr w:type="spellStart"/>
      <w:r w:rsidRPr="001A2988">
        <w:rPr>
          <w:rFonts w:ascii="Calibri" w:hAnsi="Calibri" w:cs="Calibri"/>
          <w:color w:val="373A3C"/>
        </w:rPr>
        <w:t>Banergi</w:t>
      </w:r>
      <w:proofErr w:type="spellEnd"/>
      <w:r w:rsidRPr="001A2988">
        <w:rPr>
          <w:rFonts w:ascii="Calibri" w:hAnsi="Calibri" w:cs="Calibri"/>
          <w:color w:val="373A3C"/>
        </w:rPr>
        <w:t xml:space="preserve">, 2019) given the decline experienced in this sector; nevertheless, the Department of Minerals and Energy (DMRE) in </w:t>
      </w:r>
      <w:r w:rsidRPr="001A2988">
        <w:rPr>
          <w:rFonts w:ascii="Calibri" w:hAnsi="Calibri" w:cs="Calibri"/>
        </w:rPr>
        <w:t>South Africa</w:t>
      </w:r>
      <w:r w:rsidR="001A2988" w:rsidRPr="001A2988">
        <w:rPr>
          <w:rFonts w:ascii="Calibri" w:hAnsi="Calibri" w:cs="Calibri"/>
        </w:rPr>
        <w:t xml:space="preserve"> </w:t>
      </w:r>
      <w:r w:rsidRPr="001A2988">
        <w:rPr>
          <w:rFonts w:ascii="Calibri" w:hAnsi="Calibri" w:cs="Calibri"/>
        </w:rPr>
        <w:t>started investing in this</w:t>
      </w:r>
      <w:r w:rsidR="00285886" w:rsidRPr="001A2988">
        <w:rPr>
          <w:rFonts w:ascii="Calibri" w:hAnsi="Calibri" w:cs="Calibri"/>
        </w:rPr>
        <w:t xml:space="preserve"> process by allowing business and individuals to produce up to 100MW of electricity without a license provided that generators are compliant</w:t>
      </w:r>
      <w:r w:rsidR="001A2988" w:rsidRPr="001A2988">
        <w:rPr>
          <w:rFonts w:ascii="Calibri" w:hAnsi="Calibri" w:cs="Calibri"/>
        </w:rPr>
        <w:t xml:space="preserve"> </w:t>
      </w:r>
      <w:r w:rsidRPr="001A2988">
        <w:rPr>
          <w:rFonts w:ascii="Calibri" w:hAnsi="Calibri" w:cs="Calibri"/>
        </w:rPr>
        <w:t xml:space="preserve">(Eskom, 2021). </w:t>
      </w:r>
    </w:p>
    <w:p w14:paraId="712230D6" w14:textId="39E2E883" w:rsidR="00C027E8" w:rsidRPr="001A2988" w:rsidRDefault="00C027E8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r w:rsidRPr="001A2988">
        <w:rPr>
          <w:rFonts w:ascii="Calibri" w:hAnsi="Calibri" w:cs="Calibri"/>
          <w:color w:val="373A3C"/>
        </w:rPr>
        <w:t>A</w:t>
      </w:r>
      <w:r w:rsidR="00EF7A9E" w:rsidRPr="001A2988">
        <w:rPr>
          <w:rFonts w:ascii="Calibri" w:hAnsi="Calibri" w:cs="Calibri"/>
          <w:color w:val="373A3C"/>
        </w:rPr>
        <w:t>lternative sources of energy should be explored, including more sustainable (Gatto, 2022) and renewable energies (Żuk &amp; Żuk, 2022), to mitigate further exacerbations of the current crisis.</w:t>
      </w:r>
      <w:r w:rsidRPr="001A2988">
        <w:rPr>
          <w:rFonts w:ascii="Calibri" w:hAnsi="Calibri" w:cs="Calibri"/>
          <w:color w:val="373A3C"/>
        </w:rPr>
        <w:t xml:space="preserve"> </w:t>
      </w:r>
      <w:proofErr w:type="gramStart"/>
      <w:r w:rsidRPr="001A2988">
        <w:rPr>
          <w:rFonts w:ascii="Calibri" w:hAnsi="Calibri" w:cs="Calibri"/>
          <w:color w:val="373A3C"/>
        </w:rPr>
        <w:t>In</w:t>
      </w:r>
      <w:r w:rsidR="001A2988" w:rsidRPr="001A2988">
        <w:rPr>
          <w:rFonts w:ascii="Calibri" w:hAnsi="Calibri" w:cs="Calibri"/>
          <w:color w:val="373A3C"/>
        </w:rPr>
        <w:t xml:space="preserve"> particular, </w:t>
      </w:r>
      <w:r w:rsidRPr="001A2988">
        <w:rPr>
          <w:rFonts w:ascii="Calibri" w:hAnsi="Calibri" w:cs="Calibri"/>
          <w:color w:val="373A3C"/>
        </w:rPr>
        <w:t>data-driven</w:t>
      </w:r>
      <w:proofErr w:type="gramEnd"/>
      <w:r w:rsidRPr="001A2988">
        <w:rPr>
          <w:rFonts w:ascii="Calibri" w:hAnsi="Calibri" w:cs="Calibri"/>
          <w:color w:val="373A3C"/>
        </w:rPr>
        <w:t xml:space="preserve"> energy resource management could lead to a more resilient energy network by leveraging non-traditional energy producers, e.g., houses generating a surplus of solar energy (International Renewable Energy Agency, 2020). </w:t>
      </w:r>
    </w:p>
    <w:p w14:paraId="2CB3B375" w14:textId="77777777" w:rsidR="002F6101" w:rsidRDefault="002F6101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</w:p>
    <w:p w14:paraId="26E4ECFC" w14:textId="1C3B5EE2" w:rsidR="00EF7A9E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r w:rsidRPr="001A2988">
        <w:rPr>
          <w:rFonts w:ascii="Calibri" w:hAnsi="Calibri" w:cs="Calibri"/>
          <w:color w:val="373A3C"/>
        </w:rPr>
        <w:t> </w:t>
      </w:r>
    </w:p>
    <w:p w14:paraId="376451AB" w14:textId="77777777" w:rsidR="00EF7A9E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r w:rsidRPr="001A2988">
        <w:rPr>
          <w:rFonts w:ascii="Calibri" w:hAnsi="Calibri" w:cs="Calibri"/>
          <w:b/>
          <w:bCs/>
          <w:color w:val="373A3C"/>
        </w:rPr>
        <w:t>References</w:t>
      </w:r>
    </w:p>
    <w:p w14:paraId="1E9DE9F6" w14:textId="77777777" w:rsidR="00EF7A9E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r w:rsidRPr="001A2988">
        <w:rPr>
          <w:rFonts w:ascii="Calibri" w:hAnsi="Calibri" w:cs="Calibri"/>
          <w:color w:val="373A3C"/>
        </w:rPr>
        <w:t> </w:t>
      </w:r>
    </w:p>
    <w:p w14:paraId="2D10B0D2" w14:textId="69426C7F" w:rsidR="00EF7A9E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r w:rsidRPr="001A2988">
        <w:rPr>
          <w:rFonts w:ascii="Calibri" w:hAnsi="Calibri" w:cs="Calibri"/>
          <w:color w:val="373A3C"/>
        </w:rPr>
        <w:t>Banerji, R. (2019) Will the T&amp;D utility of the future have a digital DNA?</w:t>
      </w:r>
    </w:p>
    <w:p w14:paraId="0DC172F2" w14:textId="393774A4" w:rsidR="00EF7A9E" w:rsidRPr="001A2988" w:rsidRDefault="00EF7A9E" w:rsidP="002F6101">
      <w:pPr>
        <w:jc w:val="both"/>
        <w:rPr>
          <w:rFonts w:ascii="Calibri" w:hAnsi="Calibri" w:cs="Calibri"/>
        </w:rPr>
      </w:pPr>
      <w:r w:rsidRPr="001A2988">
        <w:rPr>
          <w:rFonts w:ascii="Calibri" w:hAnsi="Calibri" w:cs="Calibri"/>
        </w:rPr>
        <w:t xml:space="preserve">Eskom (2021) </w:t>
      </w:r>
      <w:r w:rsidRPr="001A2988">
        <w:rPr>
          <w:rFonts w:ascii="Calibri" w:hAnsi="Calibri" w:cs="Calibri"/>
          <w:i/>
          <w:iCs/>
        </w:rPr>
        <w:t>Independent Power Producers Generators</w:t>
      </w:r>
      <w:r w:rsidRPr="001A2988">
        <w:rPr>
          <w:rFonts w:ascii="Calibri" w:hAnsi="Calibri" w:cs="Calibri"/>
        </w:rPr>
        <w:t xml:space="preserve">. </w:t>
      </w:r>
      <w:r w:rsidR="00DD4E6A" w:rsidRPr="001A2988">
        <w:rPr>
          <w:rFonts w:ascii="Calibri" w:hAnsi="Calibri" w:cs="Calibri"/>
        </w:rPr>
        <w:t xml:space="preserve">[online] </w:t>
      </w:r>
      <w:r w:rsidRPr="001A2988">
        <w:rPr>
          <w:rFonts w:ascii="Calibri" w:hAnsi="Calibri" w:cs="Calibri"/>
        </w:rPr>
        <w:t xml:space="preserve">Available </w:t>
      </w:r>
      <w:r w:rsidR="008140AB" w:rsidRPr="001A2988">
        <w:rPr>
          <w:rFonts w:ascii="Calibri" w:hAnsi="Calibri" w:cs="Calibri"/>
        </w:rPr>
        <w:t>at</w:t>
      </w:r>
      <w:r w:rsidRPr="001A2988">
        <w:rPr>
          <w:rFonts w:ascii="Calibri" w:hAnsi="Calibri" w:cs="Calibri"/>
        </w:rPr>
        <w:t xml:space="preserve">: </w:t>
      </w:r>
      <w:hyperlink r:id="rId4" w:history="1">
        <w:r w:rsidR="006249AA" w:rsidRPr="006C447B">
          <w:rPr>
            <w:rStyle w:val="Hyperlink"/>
            <w:rFonts w:ascii="Calibri" w:hAnsi="Calibri" w:cs="Calibri"/>
          </w:rPr>
          <w:t>https://www.eskom.co.za/eas/independent-power-producer/</w:t>
        </w:r>
      </w:hyperlink>
      <w:r w:rsidR="006249AA">
        <w:rPr>
          <w:rFonts w:ascii="Calibri" w:hAnsi="Calibri" w:cs="Calibri"/>
        </w:rPr>
        <w:t xml:space="preserve"> </w:t>
      </w:r>
      <w:r w:rsidRPr="001A2988">
        <w:rPr>
          <w:rFonts w:ascii="Calibri" w:hAnsi="Calibri" w:cs="Calibri"/>
        </w:rPr>
        <w:t>[Accessed: 19 Jun 2022]</w:t>
      </w:r>
      <w:r w:rsidR="00E85F3B" w:rsidRPr="001A2988">
        <w:rPr>
          <w:rFonts w:ascii="Calibri" w:hAnsi="Calibri" w:cs="Calibri"/>
        </w:rPr>
        <w:t>.</w:t>
      </w:r>
    </w:p>
    <w:p w14:paraId="1D949C71" w14:textId="77777777" w:rsidR="00EF7A9E" w:rsidRPr="001A2988" w:rsidRDefault="00EF7A9E" w:rsidP="002F6101">
      <w:pPr>
        <w:jc w:val="both"/>
        <w:rPr>
          <w:rFonts w:ascii="Calibri" w:hAnsi="Calibri" w:cs="Calibri"/>
        </w:rPr>
      </w:pPr>
    </w:p>
    <w:p w14:paraId="2B3076CB" w14:textId="072D392B" w:rsidR="008140AB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r w:rsidRPr="001A2988">
        <w:rPr>
          <w:rFonts w:ascii="Calibri" w:hAnsi="Calibri" w:cs="Calibri"/>
          <w:color w:val="373A3C"/>
        </w:rPr>
        <w:t>Gatto, A. (2022) The energy futures we want: A research and policy agenda for energy transitions. </w:t>
      </w:r>
      <w:r w:rsidRPr="001A2988">
        <w:rPr>
          <w:rFonts w:ascii="Calibri" w:hAnsi="Calibri" w:cs="Calibri"/>
          <w:i/>
          <w:iCs/>
          <w:color w:val="373A3C"/>
        </w:rPr>
        <w:t>Energy Research &amp; Social Science</w:t>
      </w:r>
      <w:r w:rsidRPr="001A2988">
        <w:rPr>
          <w:rFonts w:ascii="Calibri" w:hAnsi="Calibri" w:cs="Calibri"/>
          <w:color w:val="373A3C"/>
        </w:rPr>
        <w:t>, </w:t>
      </w:r>
      <w:r w:rsidRPr="001A2988">
        <w:rPr>
          <w:rFonts w:ascii="Calibri" w:hAnsi="Calibri" w:cs="Calibri"/>
          <w:i/>
          <w:iCs/>
          <w:color w:val="373A3C"/>
        </w:rPr>
        <w:t>89</w:t>
      </w:r>
      <w:r w:rsidRPr="001A2988">
        <w:rPr>
          <w:rFonts w:ascii="Calibri" w:hAnsi="Calibri" w:cs="Calibri"/>
          <w:color w:val="373A3C"/>
        </w:rPr>
        <w:t>, 102639.</w:t>
      </w:r>
    </w:p>
    <w:p w14:paraId="1B4A9C75" w14:textId="230FC00F" w:rsidR="008140AB" w:rsidRPr="001A2988" w:rsidRDefault="008140AB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r w:rsidRPr="001A2988">
        <w:rPr>
          <w:rFonts w:ascii="Calibri" w:hAnsi="Calibri" w:cs="Calibri"/>
          <w:color w:val="373A3C"/>
        </w:rPr>
        <w:t>‌International Renewable Energy Agency (2020)</w:t>
      </w:r>
      <w:r w:rsidR="00DD4E6A" w:rsidRPr="001A2988">
        <w:rPr>
          <w:rFonts w:ascii="Calibri" w:hAnsi="Calibri" w:cs="Calibri"/>
          <w:color w:val="373A3C"/>
        </w:rPr>
        <w:t xml:space="preserve"> </w:t>
      </w:r>
      <w:r w:rsidRPr="001A2988">
        <w:rPr>
          <w:rFonts w:ascii="Calibri" w:hAnsi="Calibri" w:cs="Calibri"/>
          <w:i/>
          <w:iCs/>
          <w:color w:val="373A3C"/>
        </w:rPr>
        <w:t>Peer-to-Peer Electricity Trading Innovation Landscape Brief</w:t>
      </w:r>
      <w:r w:rsidRPr="001A2988">
        <w:rPr>
          <w:rFonts w:ascii="Calibri" w:hAnsi="Calibri" w:cs="Calibri"/>
          <w:color w:val="373A3C"/>
        </w:rPr>
        <w:t>. [online] Available at: https://irena.org/-</w:t>
      </w:r>
      <w:r w:rsidRPr="001A2988">
        <w:rPr>
          <w:rFonts w:ascii="Calibri" w:hAnsi="Calibri" w:cs="Calibri"/>
          <w:color w:val="373A3C"/>
        </w:rPr>
        <w:lastRenderedPageBreak/>
        <w:t>/media/Files/IRENA/Agency/Publication/2020/Jul/IRENA_Peer-to-peer_trading_2020.pdf [Accessed 28 Jun 2022].</w:t>
      </w:r>
    </w:p>
    <w:p w14:paraId="34617684" w14:textId="79F90508" w:rsidR="00EF7A9E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proofErr w:type="spellStart"/>
      <w:r w:rsidRPr="001A2988">
        <w:rPr>
          <w:rFonts w:ascii="Calibri" w:hAnsi="Calibri" w:cs="Calibri"/>
          <w:color w:val="373A3C"/>
        </w:rPr>
        <w:t>Johannesson</w:t>
      </w:r>
      <w:proofErr w:type="spellEnd"/>
      <w:r w:rsidRPr="001A2988">
        <w:rPr>
          <w:rFonts w:ascii="Calibri" w:hAnsi="Calibri" w:cs="Calibri"/>
          <w:color w:val="373A3C"/>
        </w:rPr>
        <w:t>, J., &amp; Clowes, D. (2022) Energy resources and markets–Perspectives on the Russia–Ukraine War. </w:t>
      </w:r>
      <w:r w:rsidRPr="001A2988">
        <w:rPr>
          <w:rFonts w:ascii="Calibri" w:hAnsi="Calibri" w:cs="Calibri"/>
          <w:i/>
          <w:iCs/>
          <w:color w:val="373A3C"/>
        </w:rPr>
        <w:t>European Review</w:t>
      </w:r>
      <w:r w:rsidRPr="001A2988">
        <w:rPr>
          <w:rFonts w:ascii="Calibri" w:hAnsi="Calibri" w:cs="Calibri"/>
          <w:color w:val="373A3C"/>
        </w:rPr>
        <w:t>, </w:t>
      </w:r>
      <w:r w:rsidRPr="00B11DDB">
        <w:rPr>
          <w:rFonts w:ascii="Calibri" w:hAnsi="Calibri" w:cs="Calibri"/>
          <w:color w:val="373A3C"/>
        </w:rPr>
        <w:t>30</w:t>
      </w:r>
      <w:r w:rsidRPr="001A2988">
        <w:rPr>
          <w:rFonts w:ascii="Calibri" w:hAnsi="Calibri" w:cs="Calibri"/>
          <w:color w:val="373A3C"/>
        </w:rPr>
        <w:t>(1)</w:t>
      </w:r>
      <w:r w:rsidR="00B11DDB">
        <w:rPr>
          <w:rFonts w:ascii="Calibri" w:hAnsi="Calibri" w:cs="Calibri"/>
          <w:color w:val="373A3C"/>
        </w:rPr>
        <w:t>:</w:t>
      </w:r>
      <w:r w:rsidRPr="001A2988">
        <w:rPr>
          <w:rFonts w:ascii="Calibri" w:hAnsi="Calibri" w:cs="Calibri"/>
          <w:color w:val="373A3C"/>
        </w:rPr>
        <w:t xml:space="preserve"> 4-23.</w:t>
      </w:r>
    </w:p>
    <w:p w14:paraId="1A0C7E4C" w14:textId="57F6C1C6" w:rsidR="00EF7A9E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r w:rsidRPr="001A2988">
        <w:rPr>
          <w:rFonts w:ascii="Calibri" w:hAnsi="Calibri" w:cs="Calibri"/>
          <w:color w:val="373A3C"/>
        </w:rPr>
        <w:t xml:space="preserve">Kargin, Y. O., Barnes, A. A., Uysal, O. D., Pinon-Fischer, O. J., Balchanos, M. G., Mavris, D. N., ... &amp; Matlik, J. F. (2021) Digital Enterprise Across </w:t>
      </w:r>
      <w:proofErr w:type="gramStart"/>
      <w:r w:rsidRPr="001A2988">
        <w:rPr>
          <w:rFonts w:ascii="Calibri" w:hAnsi="Calibri" w:cs="Calibri"/>
          <w:color w:val="373A3C"/>
        </w:rPr>
        <w:t>The</w:t>
      </w:r>
      <w:proofErr w:type="gramEnd"/>
      <w:r w:rsidRPr="001A2988">
        <w:rPr>
          <w:rFonts w:ascii="Calibri" w:hAnsi="Calibri" w:cs="Calibri"/>
          <w:color w:val="373A3C"/>
        </w:rPr>
        <w:t xml:space="preserve"> Lifecycle. In AIAA Scitech 2021 Forum (p. 0240).</w:t>
      </w:r>
    </w:p>
    <w:p w14:paraId="6C55E301" w14:textId="3074B9B3" w:rsidR="00EF7A9E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proofErr w:type="spellStart"/>
      <w:r w:rsidRPr="001A2988">
        <w:rPr>
          <w:rFonts w:ascii="Calibri" w:hAnsi="Calibri" w:cs="Calibri"/>
          <w:color w:val="373A3C"/>
        </w:rPr>
        <w:t>Liadze</w:t>
      </w:r>
      <w:proofErr w:type="spellEnd"/>
      <w:r w:rsidRPr="001A2988">
        <w:rPr>
          <w:rFonts w:ascii="Calibri" w:hAnsi="Calibri" w:cs="Calibri"/>
          <w:color w:val="373A3C"/>
        </w:rPr>
        <w:t xml:space="preserve">, I., </w:t>
      </w:r>
      <w:proofErr w:type="spellStart"/>
      <w:r w:rsidRPr="001A2988">
        <w:rPr>
          <w:rFonts w:ascii="Calibri" w:hAnsi="Calibri" w:cs="Calibri"/>
          <w:color w:val="373A3C"/>
        </w:rPr>
        <w:t>Macchiarelli</w:t>
      </w:r>
      <w:proofErr w:type="spellEnd"/>
      <w:r w:rsidRPr="001A2988">
        <w:rPr>
          <w:rFonts w:ascii="Calibri" w:hAnsi="Calibri" w:cs="Calibri"/>
          <w:color w:val="373A3C"/>
        </w:rPr>
        <w:t xml:space="preserve">, C., Mortimer-Lee, P., &amp; </w:t>
      </w:r>
      <w:proofErr w:type="spellStart"/>
      <w:r w:rsidRPr="001A2988">
        <w:rPr>
          <w:rFonts w:ascii="Calibri" w:hAnsi="Calibri" w:cs="Calibri"/>
          <w:color w:val="373A3C"/>
        </w:rPr>
        <w:t>Juanino</w:t>
      </w:r>
      <w:proofErr w:type="spellEnd"/>
      <w:r w:rsidRPr="001A2988">
        <w:rPr>
          <w:rFonts w:ascii="Calibri" w:hAnsi="Calibri" w:cs="Calibri"/>
          <w:color w:val="373A3C"/>
        </w:rPr>
        <w:t>, P. S. (2022) The economic costs of the Russia-Ukraine conflict. </w:t>
      </w:r>
      <w:r w:rsidRPr="001A2988">
        <w:rPr>
          <w:rFonts w:ascii="Calibri" w:hAnsi="Calibri" w:cs="Calibri"/>
          <w:i/>
          <w:iCs/>
          <w:color w:val="373A3C"/>
        </w:rPr>
        <w:t>NIESR Policy Paper</w:t>
      </w:r>
      <w:r w:rsidRPr="001A2988">
        <w:rPr>
          <w:rFonts w:ascii="Calibri" w:hAnsi="Calibri" w:cs="Calibri"/>
          <w:color w:val="373A3C"/>
        </w:rPr>
        <w:t>, </w:t>
      </w:r>
      <w:r w:rsidRPr="00B11DDB">
        <w:rPr>
          <w:rFonts w:ascii="Calibri" w:hAnsi="Calibri" w:cs="Calibri"/>
          <w:color w:val="373A3C"/>
        </w:rPr>
        <w:t>32</w:t>
      </w:r>
      <w:r w:rsidRPr="001A2988">
        <w:rPr>
          <w:rFonts w:ascii="Calibri" w:hAnsi="Calibri" w:cs="Calibri"/>
          <w:color w:val="373A3C"/>
        </w:rPr>
        <w:t>.</w:t>
      </w:r>
    </w:p>
    <w:p w14:paraId="35F27C73" w14:textId="0904C9AB" w:rsidR="00EF7A9E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r w:rsidRPr="001A2988">
        <w:rPr>
          <w:rFonts w:ascii="Calibri" w:hAnsi="Calibri" w:cs="Calibri"/>
          <w:color w:val="373A3C"/>
        </w:rPr>
        <w:t xml:space="preserve">Mordecai, Y., de </w:t>
      </w:r>
      <w:proofErr w:type="spellStart"/>
      <w:r w:rsidRPr="001A2988">
        <w:rPr>
          <w:rFonts w:ascii="Calibri" w:hAnsi="Calibri" w:cs="Calibri"/>
          <w:color w:val="373A3C"/>
        </w:rPr>
        <w:t>Weck</w:t>
      </w:r>
      <w:proofErr w:type="spellEnd"/>
      <w:r w:rsidRPr="001A2988">
        <w:rPr>
          <w:rFonts w:ascii="Calibri" w:hAnsi="Calibri" w:cs="Calibri"/>
          <w:color w:val="373A3C"/>
        </w:rPr>
        <w:t>, O. L., &amp; Crawley, E. F. (2022) Toward an Enterprise Architecture for a Digital Systems Engineering Ecosystem. In </w:t>
      </w:r>
      <w:r w:rsidRPr="001A2988">
        <w:rPr>
          <w:rFonts w:ascii="Calibri" w:hAnsi="Calibri" w:cs="Calibri"/>
          <w:i/>
          <w:iCs/>
          <w:color w:val="373A3C"/>
        </w:rPr>
        <w:t>Recent Trends and Advances in Model Based Systems Engineering</w:t>
      </w:r>
      <w:r w:rsidRPr="001A2988">
        <w:rPr>
          <w:rFonts w:ascii="Calibri" w:hAnsi="Calibri" w:cs="Calibri"/>
          <w:color w:val="373A3C"/>
        </w:rPr>
        <w:t> (pp. 653-663). Springer, Cham.</w:t>
      </w:r>
    </w:p>
    <w:p w14:paraId="329D0E96" w14:textId="17B95D18" w:rsidR="00EF7A9E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proofErr w:type="spellStart"/>
      <w:r w:rsidRPr="001A2988">
        <w:rPr>
          <w:rFonts w:ascii="Calibri" w:hAnsi="Calibri" w:cs="Calibri"/>
          <w:color w:val="373A3C"/>
        </w:rPr>
        <w:t>Spremić</w:t>
      </w:r>
      <w:proofErr w:type="spellEnd"/>
      <w:r w:rsidRPr="001A2988">
        <w:rPr>
          <w:rFonts w:ascii="Calibri" w:hAnsi="Calibri" w:cs="Calibri"/>
          <w:color w:val="373A3C"/>
        </w:rPr>
        <w:t xml:space="preserve">, M. &amp; </w:t>
      </w:r>
      <w:proofErr w:type="spellStart"/>
      <w:r w:rsidRPr="001A2988">
        <w:rPr>
          <w:rFonts w:ascii="Calibri" w:hAnsi="Calibri" w:cs="Calibri"/>
          <w:color w:val="373A3C"/>
        </w:rPr>
        <w:t>Šimunic</w:t>
      </w:r>
      <w:proofErr w:type="spellEnd"/>
      <w:r w:rsidRPr="001A2988">
        <w:rPr>
          <w:rFonts w:ascii="Calibri" w:hAnsi="Calibri" w:cs="Calibri"/>
          <w:color w:val="373A3C"/>
        </w:rPr>
        <w:t>, A. (2018) Cyber Security Challenges in Digital Economy. Proceedings of the World Congress on Engineering 2018 (1).</w:t>
      </w:r>
    </w:p>
    <w:p w14:paraId="14ABF079" w14:textId="12014AC2" w:rsidR="00EF7A9E" w:rsidRPr="001A2988" w:rsidRDefault="00EF7A9E" w:rsidP="002F6101">
      <w:pPr>
        <w:pStyle w:val="NormalWeb"/>
        <w:spacing w:before="0" w:beforeAutospacing="0"/>
        <w:jc w:val="both"/>
        <w:rPr>
          <w:rFonts w:ascii="Calibri" w:hAnsi="Calibri" w:cs="Calibri"/>
          <w:color w:val="373A3C"/>
        </w:rPr>
      </w:pPr>
      <w:r w:rsidRPr="001A2988">
        <w:rPr>
          <w:rFonts w:ascii="Calibri" w:hAnsi="Calibri" w:cs="Calibri"/>
          <w:color w:val="373A3C"/>
        </w:rPr>
        <w:t>Żuk, P., &amp; Żuk, P. (2022) National energy security or acceleration of transition? Energy policy after the war in Ukraine. </w:t>
      </w:r>
      <w:r w:rsidRPr="001A2988">
        <w:rPr>
          <w:rFonts w:ascii="Calibri" w:hAnsi="Calibri" w:cs="Calibri"/>
          <w:i/>
          <w:iCs/>
          <w:color w:val="373A3C"/>
        </w:rPr>
        <w:t>Joule</w:t>
      </w:r>
      <w:r w:rsidRPr="001A2988">
        <w:rPr>
          <w:rFonts w:ascii="Calibri" w:hAnsi="Calibri" w:cs="Calibri"/>
          <w:color w:val="373A3C"/>
        </w:rPr>
        <w:t>, </w:t>
      </w:r>
      <w:r w:rsidRPr="00B11DDB">
        <w:rPr>
          <w:rFonts w:ascii="Calibri" w:hAnsi="Calibri" w:cs="Calibri"/>
          <w:color w:val="373A3C"/>
        </w:rPr>
        <w:t>6</w:t>
      </w:r>
      <w:r w:rsidRPr="001A2988">
        <w:rPr>
          <w:rFonts w:ascii="Calibri" w:hAnsi="Calibri" w:cs="Calibri"/>
          <w:color w:val="373A3C"/>
        </w:rPr>
        <w:t>(4)</w:t>
      </w:r>
      <w:r w:rsidR="00B11DDB">
        <w:rPr>
          <w:rFonts w:ascii="Calibri" w:hAnsi="Calibri" w:cs="Calibri"/>
          <w:color w:val="373A3C"/>
        </w:rPr>
        <w:t>:</w:t>
      </w:r>
      <w:r w:rsidRPr="001A2988">
        <w:rPr>
          <w:rFonts w:ascii="Calibri" w:hAnsi="Calibri" w:cs="Calibri"/>
          <w:color w:val="373A3C"/>
        </w:rPr>
        <w:t xml:space="preserve"> 709-712.</w:t>
      </w:r>
    </w:p>
    <w:sectPr w:rsidR="00EF7A9E" w:rsidRPr="001A2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5"/>
    <w:rsid w:val="001A2988"/>
    <w:rsid w:val="00285886"/>
    <w:rsid w:val="002F6101"/>
    <w:rsid w:val="0053061C"/>
    <w:rsid w:val="006249AA"/>
    <w:rsid w:val="008140AB"/>
    <w:rsid w:val="00916284"/>
    <w:rsid w:val="00A87AF5"/>
    <w:rsid w:val="00B11DDB"/>
    <w:rsid w:val="00C027E8"/>
    <w:rsid w:val="00DD4E6A"/>
    <w:rsid w:val="00E85F3B"/>
    <w:rsid w:val="00E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D4A4A"/>
  <w15:chartTrackingRefBased/>
  <w15:docId w15:val="{B61FE957-6DA2-AB40-B3F0-972ADF99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7A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24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skom.co.za/eas/independent-power-produ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10</cp:revision>
  <dcterms:created xsi:type="dcterms:W3CDTF">2022-06-28T10:20:00Z</dcterms:created>
  <dcterms:modified xsi:type="dcterms:W3CDTF">2022-06-28T16:32:00Z</dcterms:modified>
</cp:coreProperties>
</file>