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483F"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Artificial Intelligence (AI)-related information systems can provide recommendations that inform decision-making processes, such as investment decisions (Cabrera-Paniagua &amp; Rubilar-Torrealba, 2021; Keding &amp; Meissner, 2021). Nevertheless, when designed poorly, whether due to incorrect data collection, transformations, and algorithm development or due to biased and limited validations of such AI-based algorithms on real-life datasets, they can have catastrophic consequences for organisations and the wider society. </w:t>
      </w:r>
    </w:p>
    <w:p w14:paraId="6C8389E0" w14:textId="77777777" w:rsidR="001D4206" w:rsidRPr="001D4206" w:rsidRDefault="001D4206" w:rsidP="00912AFC">
      <w:pPr>
        <w:shd w:val="clear" w:color="auto" w:fill="FFFFFF"/>
        <w:jc w:val="both"/>
        <w:rPr>
          <w:rFonts w:ascii="Calibri" w:eastAsia="Times New Roman" w:hAnsi="Calibri" w:cs="Calibri"/>
          <w:color w:val="000000"/>
          <w:lang w:eastAsia="en-GB"/>
        </w:rPr>
      </w:pPr>
    </w:p>
    <w:p w14:paraId="0D4D5349"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For instance, at the end of 2021, the online real estate company named “Zillow” had announced to its shareholders that it would have slashed its “Offers” operations and laid off 25% of its employees (2,000 people) in subsequent financial quarters (Levy, 2021; Olavsrud, 2022). These harsh decisions were caused by a $304 million operating loss following the company’s investments in buying properties whose prices were higher than what they could have been sold for in future (Levy, 2021; Olavsrud, 2022). </w:t>
      </w:r>
    </w:p>
    <w:p w14:paraId="6A80C333" w14:textId="77777777" w:rsidR="001D4206" w:rsidRPr="001D4206" w:rsidRDefault="001D4206" w:rsidP="00912AFC">
      <w:pPr>
        <w:shd w:val="clear" w:color="auto" w:fill="FFFFFF"/>
        <w:jc w:val="both"/>
        <w:rPr>
          <w:rFonts w:ascii="Calibri" w:eastAsia="Times New Roman" w:hAnsi="Calibri" w:cs="Calibri"/>
          <w:color w:val="000000"/>
          <w:lang w:eastAsia="en-GB"/>
        </w:rPr>
      </w:pPr>
    </w:p>
    <w:p w14:paraId="68CD77C2"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Such investments were incorrectly made due to an inaccurate AI-based information system that was poorly designed and validated, resulting in a much higher underestimation of its reported 5% error in predicting house prices on average (Fu </w:t>
      </w:r>
      <w:r w:rsidRPr="001D4206">
        <w:rPr>
          <w:rFonts w:ascii="Calibri" w:eastAsia="Times New Roman" w:hAnsi="Calibri" w:cs="Calibri"/>
          <w:i/>
          <w:iCs/>
          <w:color w:val="000000"/>
          <w:lang w:eastAsia="en-GB"/>
        </w:rPr>
        <w:t>et al</w:t>
      </w:r>
      <w:r w:rsidRPr="001D4206">
        <w:rPr>
          <w:rFonts w:ascii="Calibri" w:eastAsia="Times New Roman" w:hAnsi="Calibri" w:cs="Calibri"/>
          <w:color w:val="000000"/>
          <w:lang w:eastAsia="en-GB"/>
        </w:rPr>
        <w:t>., 2022; Levy, 2021; Olavsrud, 2022). The importance of leveraging the appropriate data and validating the algorithm’s performance in a robust manner, including how both the data distributions and the algorithm’s performance vary over time, cannot be overstated.  </w:t>
      </w:r>
    </w:p>
    <w:p w14:paraId="2D782D76" w14:textId="77777777" w:rsidR="001D4206" w:rsidRPr="001D4206" w:rsidRDefault="001D4206" w:rsidP="00912AFC">
      <w:pPr>
        <w:shd w:val="clear" w:color="auto" w:fill="FFFFFF"/>
        <w:spacing w:after="100" w:afterAutospacing="1"/>
        <w:jc w:val="both"/>
        <w:rPr>
          <w:rFonts w:ascii="Arial" w:eastAsia="Times New Roman" w:hAnsi="Arial" w:cs="Arial"/>
          <w:color w:val="373A3C"/>
          <w:lang w:eastAsia="en-GB"/>
        </w:rPr>
      </w:pPr>
      <w:r w:rsidRPr="001D4206">
        <w:rPr>
          <w:rFonts w:ascii="Arial" w:eastAsia="Times New Roman" w:hAnsi="Arial" w:cs="Arial"/>
          <w:color w:val="373A3C"/>
          <w:lang w:eastAsia="en-GB"/>
        </w:rPr>
        <w:t> </w:t>
      </w:r>
    </w:p>
    <w:p w14:paraId="7674D57D"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b/>
          <w:bCs/>
          <w:color w:val="000000"/>
          <w:lang w:eastAsia="en-GB"/>
        </w:rPr>
        <w:t>References</w:t>
      </w:r>
    </w:p>
    <w:p w14:paraId="7B2F2381" w14:textId="77777777" w:rsidR="001D4206" w:rsidRPr="001D4206" w:rsidRDefault="001D4206" w:rsidP="00912AFC">
      <w:pPr>
        <w:shd w:val="clear" w:color="auto" w:fill="FFFFFF"/>
        <w:spacing w:after="100" w:afterAutospacing="1"/>
        <w:jc w:val="both"/>
        <w:rPr>
          <w:rFonts w:ascii="Arial" w:eastAsia="Times New Roman" w:hAnsi="Arial" w:cs="Arial"/>
          <w:color w:val="373A3C"/>
          <w:lang w:eastAsia="en-GB"/>
        </w:rPr>
      </w:pPr>
      <w:r w:rsidRPr="001D4206">
        <w:rPr>
          <w:rFonts w:ascii="Arial" w:eastAsia="Times New Roman" w:hAnsi="Arial" w:cs="Arial"/>
          <w:color w:val="373A3C"/>
          <w:lang w:eastAsia="en-GB"/>
        </w:rPr>
        <w:t> </w:t>
      </w:r>
    </w:p>
    <w:p w14:paraId="5A71F8E2"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Cabrera-Paniagua, D., &amp; Rubilar-Torrealba, R. (2021) A novel artificial autonomous system for supporting investment decisions using a Big Five model approach. </w:t>
      </w:r>
      <w:r w:rsidRPr="001D4206">
        <w:rPr>
          <w:rFonts w:ascii="Calibri" w:eastAsia="Times New Roman" w:hAnsi="Calibri" w:cs="Calibri"/>
          <w:i/>
          <w:iCs/>
          <w:color w:val="000000"/>
          <w:lang w:eastAsia="en-GB"/>
        </w:rPr>
        <w:t>Engineering Applications of Artificial Intelligence</w:t>
      </w:r>
      <w:r w:rsidRPr="001D4206">
        <w:rPr>
          <w:rFonts w:ascii="Calibri" w:eastAsia="Times New Roman" w:hAnsi="Calibri" w:cs="Calibri"/>
          <w:color w:val="000000"/>
          <w:lang w:eastAsia="en-GB"/>
        </w:rPr>
        <w:t> 98: 104107.</w:t>
      </w:r>
    </w:p>
    <w:p w14:paraId="6165DB07" w14:textId="77777777" w:rsidR="001D4206" w:rsidRPr="001D4206" w:rsidRDefault="001D4206" w:rsidP="00912AFC">
      <w:pPr>
        <w:shd w:val="clear" w:color="auto" w:fill="FFFFFF"/>
        <w:spacing w:after="100" w:afterAutospacing="1"/>
        <w:jc w:val="both"/>
        <w:rPr>
          <w:rFonts w:ascii="Arial" w:eastAsia="Times New Roman" w:hAnsi="Arial" w:cs="Arial"/>
          <w:color w:val="373A3C"/>
          <w:lang w:eastAsia="en-GB"/>
        </w:rPr>
      </w:pPr>
      <w:r w:rsidRPr="001D4206">
        <w:rPr>
          <w:rFonts w:ascii="Arial" w:eastAsia="Times New Roman" w:hAnsi="Arial" w:cs="Arial"/>
          <w:color w:val="373A3C"/>
          <w:lang w:eastAsia="en-GB"/>
        </w:rPr>
        <w:t> </w:t>
      </w:r>
    </w:p>
    <w:p w14:paraId="1B908F16"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Fu, R., Jin, G. Z., &amp; Liu, M. (2022). Human-Algorithm Interactions: Evidence from Zillow. com (No. w29880). National Bureau of Economic Research.</w:t>
      </w:r>
    </w:p>
    <w:p w14:paraId="13CDF5EB" w14:textId="77777777" w:rsidR="001D4206" w:rsidRPr="001D4206" w:rsidRDefault="001D4206" w:rsidP="00912AFC">
      <w:pPr>
        <w:shd w:val="clear" w:color="auto" w:fill="FFFFFF"/>
        <w:spacing w:after="100" w:afterAutospacing="1"/>
        <w:jc w:val="both"/>
        <w:rPr>
          <w:rFonts w:ascii="Arial" w:eastAsia="Times New Roman" w:hAnsi="Arial" w:cs="Arial"/>
          <w:color w:val="373A3C"/>
          <w:lang w:eastAsia="en-GB"/>
        </w:rPr>
      </w:pPr>
      <w:r w:rsidRPr="001D4206">
        <w:rPr>
          <w:rFonts w:ascii="Arial" w:eastAsia="Times New Roman" w:hAnsi="Arial" w:cs="Arial"/>
          <w:color w:val="373A3C"/>
          <w:lang w:eastAsia="en-GB"/>
        </w:rPr>
        <w:t> </w:t>
      </w:r>
    </w:p>
    <w:p w14:paraId="5F5FF151"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Keding, C., &amp; Meissner, P. (2021) Managerial overreliance on AI-augmented decision-making processes: How the use of AI-based advisory systems shapes choice behavior in R&amp;D investment decisions. </w:t>
      </w:r>
      <w:r w:rsidRPr="001D4206">
        <w:rPr>
          <w:rFonts w:ascii="Calibri" w:eastAsia="Times New Roman" w:hAnsi="Calibri" w:cs="Calibri"/>
          <w:i/>
          <w:iCs/>
          <w:color w:val="000000"/>
          <w:lang w:eastAsia="en-GB"/>
        </w:rPr>
        <w:t>Technological Forecasting and Social Change</w:t>
      </w:r>
      <w:r w:rsidRPr="001D4206">
        <w:rPr>
          <w:rFonts w:ascii="Calibri" w:eastAsia="Times New Roman" w:hAnsi="Calibri" w:cs="Calibri"/>
          <w:color w:val="000000"/>
          <w:lang w:eastAsia="en-GB"/>
        </w:rPr>
        <w:t> 171: 120970.</w:t>
      </w:r>
    </w:p>
    <w:p w14:paraId="7EB98C0F" w14:textId="77777777" w:rsidR="001D4206" w:rsidRPr="001D4206" w:rsidRDefault="001D4206" w:rsidP="00912AFC">
      <w:pPr>
        <w:shd w:val="clear" w:color="auto" w:fill="FFFFFF"/>
        <w:spacing w:after="100" w:afterAutospacing="1"/>
        <w:jc w:val="both"/>
        <w:rPr>
          <w:rFonts w:ascii="Arial" w:eastAsia="Times New Roman" w:hAnsi="Arial" w:cs="Arial"/>
          <w:color w:val="373A3C"/>
          <w:lang w:eastAsia="en-GB"/>
        </w:rPr>
      </w:pPr>
      <w:r w:rsidRPr="001D4206">
        <w:rPr>
          <w:rFonts w:ascii="Arial" w:eastAsia="Times New Roman" w:hAnsi="Arial" w:cs="Arial"/>
          <w:color w:val="373A3C"/>
          <w:lang w:eastAsia="en-GB"/>
        </w:rPr>
        <w:t> </w:t>
      </w:r>
    </w:p>
    <w:p w14:paraId="2F3F2146"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Levy, A. (2021) Zillow plunges 25% to lowest since July 2020, after company exits home-buying business. CNBC. Available from: https://www.cnbc.com/2021/11/03/zillow-stock-plunges-24percent-after-company-exits-home-buying-business.html [Accessed 20 May 2022].</w:t>
      </w:r>
    </w:p>
    <w:p w14:paraId="23EC3DCB" w14:textId="77777777" w:rsidR="001D4206" w:rsidRPr="001D4206" w:rsidRDefault="001D4206" w:rsidP="00912AFC">
      <w:pPr>
        <w:shd w:val="clear" w:color="auto" w:fill="FFFFFF"/>
        <w:spacing w:after="100" w:afterAutospacing="1"/>
        <w:jc w:val="both"/>
        <w:rPr>
          <w:rFonts w:ascii="Arial" w:eastAsia="Times New Roman" w:hAnsi="Arial" w:cs="Arial"/>
          <w:color w:val="373A3C"/>
          <w:lang w:eastAsia="en-GB"/>
        </w:rPr>
      </w:pPr>
      <w:r w:rsidRPr="001D4206">
        <w:rPr>
          <w:rFonts w:ascii="Arial" w:eastAsia="Times New Roman" w:hAnsi="Arial" w:cs="Arial"/>
          <w:color w:val="373A3C"/>
          <w:lang w:eastAsia="en-GB"/>
        </w:rPr>
        <w:t> </w:t>
      </w:r>
    </w:p>
    <w:p w14:paraId="390B5389"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Olavsrud, T. (2022) 7 famous analytics and AI disasters. CIO. Available from:</w:t>
      </w:r>
    </w:p>
    <w:p w14:paraId="029090DB" w14:textId="77777777" w:rsidR="001D4206" w:rsidRPr="001D4206" w:rsidRDefault="001D4206" w:rsidP="00912AFC">
      <w:pPr>
        <w:shd w:val="clear" w:color="auto" w:fill="FFFFFF"/>
        <w:jc w:val="both"/>
        <w:rPr>
          <w:rFonts w:ascii="Calibri" w:eastAsia="Times New Roman" w:hAnsi="Calibri" w:cs="Calibri"/>
          <w:color w:val="000000"/>
          <w:lang w:eastAsia="en-GB"/>
        </w:rPr>
      </w:pPr>
      <w:r w:rsidRPr="001D4206">
        <w:rPr>
          <w:rFonts w:ascii="Calibri" w:eastAsia="Times New Roman" w:hAnsi="Calibri" w:cs="Calibri"/>
          <w:color w:val="000000"/>
          <w:lang w:eastAsia="en-GB"/>
        </w:rPr>
        <w:t>https://www.cio.com/article/190888/5-famous-analytics-and-ai-disasters.html [Accessed 20 May 2022].</w:t>
      </w:r>
    </w:p>
    <w:p w14:paraId="21F90624" w14:textId="77777777" w:rsidR="00916284" w:rsidRDefault="00916284" w:rsidP="00912AFC">
      <w:pPr>
        <w:jc w:val="both"/>
      </w:pPr>
    </w:p>
    <w:sectPr w:rsidR="0091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06"/>
    <w:rsid w:val="001D4206"/>
    <w:rsid w:val="00912AFC"/>
    <w:rsid w:val="00916284"/>
    <w:rsid w:val="00E67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A2E27A"/>
  <w15:chartTrackingRefBased/>
  <w15:docId w15:val="{336C28D3-9EB7-7948-9511-E83AF759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20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5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3</cp:revision>
  <dcterms:created xsi:type="dcterms:W3CDTF">2022-05-26T10:05:00Z</dcterms:created>
  <dcterms:modified xsi:type="dcterms:W3CDTF">2022-05-26T10:07:00Z</dcterms:modified>
</cp:coreProperties>
</file>