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247F" w14:textId="60776993" w:rsidR="009F6618" w:rsidRPr="0077480E" w:rsidRDefault="009F6618" w:rsidP="0077480E">
      <w:pPr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shd w:val="clear" w:color="auto" w:fill="FFFFFF"/>
          <w:lang w:eastAsia="en-GB"/>
        </w:rPr>
        <w:t>Please find enclosed my 3NF-compliant ERD for a property lettings example. </w:t>
      </w:r>
    </w:p>
    <w:p w14:paraId="457BEAF6" w14:textId="77777777" w:rsidR="009F6618" w:rsidRPr="0077480E" w:rsidRDefault="009F6618" w:rsidP="0077480E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br/>
      </w:r>
    </w:p>
    <w:p w14:paraId="3DF1BC81" w14:textId="77777777" w:rsidR="009F6618" w:rsidRPr="0077480E" w:rsidRDefault="009F6618" w:rsidP="0077480E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t>Please note that:</w:t>
      </w:r>
    </w:p>
    <w:p w14:paraId="7DD9723B" w14:textId="39F33E63" w:rsidR="009F6618" w:rsidRPr="0077480E" w:rsidRDefault="009F6618" w:rsidP="0077480E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t>- The client and the tenant are assumed to be one entity. </w:t>
      </w:r>
    </w:p>
    <w:p w14:paraId="1A004BAE" w14:textId="77777777" w:rsidR="009F6618" w:rsidRPr="0077480E" w:rsidRDefault="009F6618" w:rsidP="0077480E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t>- The columns that cannot have null values are underlined.</w:t>
      </w:r>
    </w:p>
    <w:p w14:paraId="18640AA2" w14:textId="77777777" w:rsidR="009F6618" w:rsidRPr="0077480E" w:rsidRDefault="009F6618" w:rsidP="0077480E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t>- Both the primary and foreign keys are highlighted in green, but the primary key for each table is in bold too.</w:t>
      </w:r>
    </w:p>
    <w:p w14:paraId="50F8BA13" w14:textId="01B25C3F" w:rsidR="009F6618" w:rsidRPr="0077480E" w:rsidRDefault="009F6618" w:rsidP="0077480E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t>- I added expected data types of relevant columns in the suggested tables for further clarity.</w:t>
      </w:r>
    </w:p>
    <w:p w14:paraId="3289978F" w14:textId="77777777" w:rsidR="0077480E" w:rsidRPr="0077480E" w:rsidRDefault="0077480E" w:rsidP="0077480E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lang w:eastAsia="en-GB"/>
        </w:rPr>
      </w:pPr>
    </w:p>
    <w:p w14:paraId="2FD7BEFD" w14:textId="77777777" w:rsidR="0077480E" w:rsidRPr="0077480E" w:rsidRDefault="0077480E" w:rsidP="0077480E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t>The reference of the (industry-grade) tool “PlantUML” I used to generate the above-mentioned ERD is as follows:</w:t>
      </w:r>
    </w:p>
    <w:p w14:paraId="02C6B992" w14:textId="77777777" w:rsidR="0077480E" w:rsidRPr="0077480E" w:rsidRDefault="0077480E" w:rsidP="0077480E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</w:p>
    <w:p w14:paraId="1CC9B85C" w14:textId="77777777" w:rsidR="0077480E" w:rsidRPr="0077480E" w:rsidRDefault="0077480E" w:rsidP="0077480E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77480E">
        <w:rPr>
          <w:rFonts w:ascii="Calibri" w:eastAsia="Times New Roman" w:hAnsi="Calibri" w:cs="Calibri"/>
          <w:lang w:eastAsia="en-GB"/>
        </w:rPr>
        <w:t>- PlantUML (2021). </w:t>
      </w:r>
      <w:r w:rsidRPr="0077480E">
        <w:rPr>
          <w:rFonts w:ascii="Calibri" w:eastAsia="Times New Roman" w:hAnsi="Calibri" w:cs="Calibri"/>
          <w:i/>
          <w:iCs/>
          <w:lang w:eastAsia="en-GB"/>
        </w:rPr>
        <w:t>PlantUML Language Reference Guide</w:t>
      </w:r>
      <w:r w:rsidRPr="0077480E">
        <w:rPr>
          <w:rFonts w:ascii="Calibri" w:eastAsia="Times New Roman" w:hAnsi="Calibri" w:cs="Calibri"/>
          <w:lang w:eastAsia="en-GB"/>
        </w:rPr>
        <w:t>, version 1.2021.2. Retrieved from http://plantuml.com/guide. Last accessed on May 24th, 2022.</w:t>
      </w:r>
    </w:p>
    <w:p w14:paraId="77D005FC" w14:textId="77777777" w:rsidR="00916284" w:rsidRPr="0077480E" w:rsidRDefault="00916284" w:rsidP="0077480E">
      <w:pPr>
        <w:jc w:val="both"/>
        <w:rPr>
          <w:rFonts w:ascii="Calibri" w:hAnsi="Calibri" w:cs="Calibri"/>
        </w:rPr>
      </w:pPr>
    </w:p>
    <w:sectPr w:rsidR="00916284" w:rsidRPr="0077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18"/>
    <w:rsid w:val="0077480E"/>
    <w:rsid w:val="00916284"/>
    <w:rsid w:val="009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A82B"/>
  <w15:chartTrackingRefBased/>
  <w15:docId w15:val="{8678844E-439F-2946-8998-BAA3068F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6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2022-05-26T10:29:00Z</dcterms:created>
  <dcterms:modified xsi:type="dcterms:W3CDTF">2022-05-26T10:32:00Z</dcterms:modified>
</cp:coreProperties>
</file>