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B57F" w14:textId="6A2AF1CE" w:rsidR="00916284" w:rsidRPr="00644E2C" w:rsidRDefault="00FB6ECA" w:rsidP="00FB6ECA">
      <w:pPr>
        <w:spacing w:line="276" w:lineRule="auto"/>
        <w:jc w:val="both"/>
        <w:rPr>
          <w:b/>
          <w:bCs/>
          <w:sz w:val="32"/>
          <w:szCs w:val="32"/>
        </w:rPr>
      </w:pPr>
      <w:r w:rsidRPr="00644E2C">
        <w:rPr>
          <w:b/>
          <w:bCs/>
          <w:sz w:val="32"/>
          <w:szCs w:val="32"/>
        </w:rPr>
        <w:t>Collaborative discussion no. 2 – Initial post</w:t>
      </w:r>
    </w:p>
    <w:p w14:paraId="59BFC432" w14:textId="77777777" w:rsidR="00FB6ECA" w:rsidRPr="00FB6ECA" w:rsidRDefault="00FB6ECA" w:rsidP="00FB6ECA">
      <w:pPr>
        <w:spacing w:line="276" w:lineRule="auto"/>
        <w:jc w:val="both"/>
        <w:rPr>
          <w:color w:val="70AD47" w:themeColor="accent6"/>
        </w:rPr>
      </w:pPr>
    </w:p>
    <w:p w14:paraId="19457577" w14:textId="19F84DD7" w:rsidR="00FB6ECA" w:rsidRPr="00644E2C" w:rsidRDefault="00FB6ECA" w:rsidP="00FB6ECA">
      <w:pPr>
        <w:spacing w:line="276" w:lineRule="auto"/>
        <w:jc w:val="both"/>
        <w:rPr>
          <w:color w:val="000000" w:themeColor="text1"/>
        </w:rPr>
      </w:pPr>
      <w:r w:rsidRPr="00644E2C">
        <w:rPr>
          <w:color w:val="000000" w:themeColor="text1"/>
        </w:rPr>
        <w:t>This brief post discusses the social, legal, and deontological implications of the decisions a researched named Abi made when working on a project for a food manufacturer to assess the nutritional values of a new cereal called ‘</w:t>
      </w:r>
      <w:proofErr w:type="spellStart"/>
      <w:r w:rsidRPr="00644E2C">
        <w:rPr>
          <w:color w:val="000000" w:themeColor="text1"/>
        </w:rPr>
        <w:t>Whizzz</w:t>
      </w:r>
      <w:proofErr w:type="spellEnd"/>
      <w:r w:rsidRPr="00644E2C">
        <w:rPr>
          <w:color w:val="000000" w:themeColor="text1"/>
        </w:rPr>
        <w:t>’. In theory, science should strive to derive true findings in an unbiased manner, without being influenced by any financial gain, including when academic institutions collaborate with industry partners</w:t>
      </w:r>
      <w:r w:rsidR="002A15E9">
        <w:rPr>
          <w:color w:val="000000" w:themeColor="text1"/>
        </w:rPr>
        <w:t xml:space="preserve"> (Cullerton </w:t>
      </w:r>
      <w:r w:rsidR="002A15E9" w:rsidRPr="002A15E9">
        <w:rPr>
          <w:i/>
          <w:iCs/>
          <w:color w:val="000000" w:themeColor="text1"/>
        </w:rPr>
        <w:t>et al</w:t>
      </w:r>
      <w:r w:rsidR="002A15E9">
        <w:rPr>
          <w:color w:val="000000" w:themeColor="text1"/>
        </w:rPr>
        <w:t>., 2019</w:t>
      </w:r>
      <w:r w:rsidR="00725566">
        <w:rPr>
          <w:color w:val="000000" w:themeColor="text1"/>
        </w:rPr>
        <w:t xml:space="preserve">; </w:t>
      </w:r>
      <w:proofErr w:type="spellStart"/>
      <w:r w:rsidR="00725566">
        <w:rPr>
          <w:color w:val="000000" w:themeColor="text1"/>
        </w:rPr>
        <w:t>Kretser</w:t>
      </w:r>
      <w:proofErr w:type="spellEnd"/>
      <w:r w:rsidR="00725566">
        <w:rPr>
          <w:color w:val="000000" w:themeColor="text1"/>
        </w:rPr>
        <w:t xml:space="preserve"> </w:t>
      </w:r>
      <w:r w:rsidR="00725566" w:rsidRPr="002A15E9">
        <w:rPr>
          <w:i/>
          <w:iCs/>
          <w:color w:val="000000" w:themeColor="text1"/>
        </w:rPr>
        <w:t>et al</w:t>
      </w:r>
      <w:r w:rsidR="00725566">
        <w:rPr>
          <w:color w:val="000000" w:themeColor="text1"/>
        </w:rPr>
        <w:t>., 2019</w:t>
      </w:r>
      <w:r w:rsidR="002A15E9">
        <w:rPr>
          <w:color w:val="000000" w:themeColor="text1"/>
        </w:rPr>
        <w:t>)</w:t>
      </w:r>
      <w:r w:rsidRPr="00644E2C">
        <w:rPr>
          <w:color w:val="000000" w:themeColor="text1"/>
        </w:rPr>
        <w:t>. Nevertheless, in practice, industry sponsorship may influence the direction of and outcomes from a scientific research study and its associated published findings</w:t>
      </w:r>
      <w:r w:rsidR="00421D3C">
        <w:rPr>
          <w:color w:val="000000" w:themeColor="text1"/>
        </w:rPr>
        <w:t xml:space="preserve"> (</w:t>
      </w:r>
      <w:r w:rsidR="00EE6DF1">
        <w:rPr>
          <w:color w:val="000000" w:themeColor="text1"/>
        </w:rPr>
        <w:t xml:space="preserve">Chartres </w:t>
      </w:r>
      <w:r w:rsidR="00EE6DF1" w:rsidRPr="002A15E9">
        <w:rPr>
          <w:i/>
          <w:iCs/>
          <w:color w:val="000000" w:themeColor="text1"/>
        </w:rPr>
        <w:t>et al</w:t>
      </w:r>
      <w:r w:rsidR="00EE6DF1">
        <w:rPr>
          <w:color w:val="000000" w:themeColor="text1"/>
        </w:rPr>
        <w:t>., 2019</w:t>
      </w:r>
      <w:r w:rsidR="00EE6DF1">
        <w:rPr>
          <w:color w:val="000000" w:themeColor="text1"/>
        </w:rPr>
        <w:t xml:space="preserve">; </w:t>
      </w:r>
      <w:r w:rsidR="00421D3C">
        <w:rPr>
          <w:color w:val="000000" w:themeColor="text1"/>
        </w:rPr>
        <w:t>Rao, 2022)</w:t>
      </w:r>
      <w:r w:rsidRPr="00644E2C">
        <w:rPr>
          <w:color w:val="000000" w:themeColor="text1"/>
        </w:rPr>
        <w:t>.</w:t>
      </w:r>
    </w:p>
    <w:p w14:paraId="18B816BF" w14:textId="77777777" w:rsidR="00FB6ECA" w:rsidRPr="00644E2C" w:rsidRDefault="00FB6ECA" w:rsidP="00FB6ECA">
      <w:pPr>
        <w:spacing w:line="276" w:lineRule="auto"/>
        <w:jc w:val="both"/>
        <w:rPr>
          <w:color w:val="000000" w:themeColor="text1"/>
        </w:rPr>
      </w:pPr>
    </w:p>
    <w:p w14:paraId="5368576A" w14:textId="13734B63" w:rsidR="00FB6ECA" w:rsidRDefault="00FB6ECA" w:rsidP="00FB6ECA">
      <w:pPr>
        <w:spacing w:line="276" w:lineRule="auto"/>
        <w:jc w:val="both"/>
      </w:pPr>
      <w:r>
        <w:t xml:space="preserve">Nutrition </w:t>
      </w:r>
      <w:r w:rsidR="00E61729">
        <w:t xml:space="preserve">is a key driver of societal </w:t>
      </w:r>
      <w:r>
        <w:t>health</w:t>
      </w:r>
      <w:r w:rsidR="00E61729">
        <w:t xml:space="preserve"> and, thus, lack of or poor nutrition may result in pathologies and needs to be understood and monitored to ensure public health policies can help with managing its effects</w:t>
      </w:r>
      <w:r w:rsidR="002E5274">
        <w:t xml:space="preserve"> (</w:t>
      </w:r>
      <w:r w:rsidR="00552FA0">
        <w:rPr>
          <w:color w:val="000000" w:themeColor="text1"/>
        </w:rPr>
        <w:t>Wallace</w:t>
      </w:r>
      <w:r w:rsidR="009A16DC">
        <w:rPr>
          <w:color w:val="000000" w:themeColor="text1"/>
        </w:rPr>
        <w:t xml:space="preserve"> </w:t>
      </w:r>
      <w:r w:rsidR="009A16DC" w:rsidRPr="002A15E9">
        <w:rPr>
          <w:i/>
          <w:iCs/>
          <w:color w:val="000000" w:themeColor="text1"/>
        </w:rPr>
        <w:t>et al</w:t>
      </w:r>
      <w:r w:rsidR="009A16DC">
        <w:rPr>
          <w:color w:val="000000" w:themeColor="text1"/>
        </w:rPr>
        <w:t>., 20</w:t>
      </w:r>
      <w:r w:rsidR="009A16DC">
        <w:rPr>
          <w:color w:val="000000" w:themeColor="text1"/>
        </w:rPr>
        <w:t xml:space="preserve">20; </w:t>
      </w:r>
      <w:proofErr w:type="spellStart"/>
      <w:r w:rsidR="002E5274" w:rsidRPr="00FC3D5E">
        <w:t>Lillford</w:t>
      </w:r>
      <w:proofErr w:type="spellEnd"/>
      <w:r w:rsidR="002E5274" w:rsidRPr="00FC3D5E">
        <w:t xml:space="preserve"> &amp; </w:t>
      </w:r>
      <w:proofErr w:type="spellStart"/>
      <w:r w:rsidR="002E5274" w:rsidRPr="00FC3D5E">
        <w:t>Hermansson</w:t>
      </w:r>
      <w:proofErr w:type="spellEnd"/>
      <w:r w:rsidR="002E5274" w:rsidRPr="00FC3D5E">
        <w:t>, 2021</w:t>
      </w:r>
      <w:r w:rsidR="002E5274">
        <w:t>)</w:t>
      </w:r>
      <w:r w:rsidR="00E61729">
        <w:t>, whilst addressing the underlying root cause of social inequality. Nevertheless</w:t>
      </w:r>
      <w:r>
        <w:t xml:space="preserve">, </w:t>
      </w:r>
      <w:r w:rsidR="00E61729">
        <w:t>sciences investigating nutrition must be performed with integrity to ensure findings are credible and can inform tangible actions</w:t>
      </w:r>
      <w:r>
        <w:t xml:space="preserve">. </w:t>
      </w:r>
      <w:r w:rsidR="007946E5">
        <w:t xml:space="preserve">Despite this key principle, nutrition-related </w:t>
      </w:r>
      <w:r>
        <w:t>studies</w:t>
      </w:r>
      <w:r w:rsidR="007946E5">
        <w:t xml:space="preserve">, which </w:t>
      </w:r>
      <w:r>
        <w:t xml:space="preserve">are </w:t>
      </w:r>
      <w:r w:rsidR="007946E5">
        <w:t>sponsored</w:t>
      </w:r>
      <w:r>
        <w:t xml:space="preserve"> by food</w:t>
      </w:r>
      <w:r w:rsidR="007946E5">
        <w:t>, drinks, and supplements</w:t>
      </w:r>
      <w:r>
        <w:t xml:space="preserve"> </w:t>
      </w:r>
      <w:r w:rsidR="007946E5">
        <w:t xml:space="preserve">manufacturing </w:t>
      </w:r>
      <w:r>
        <w:t>companies</w:t>
      </w:r>
      <w:r w:rsidR="007946E5">
        <w:t>, have been found biased due to</w:t>
      </w:r>
      <w:r>
        <w:t xml:space="preserve"> financial interest</w:t>
      </w:r>
      <w:r w:rsidR="007946E5">
        <w:t>s</w:t>
      </w:r>
      <w:r>
        <w:t xml:space="preserve"> </w:t>
      </w:r>
      <w:r w:rsidR="007946E5">
        <w:t>in their results</w:t>
      </w:r>
      <w:r w:rsidR="005A7FAB">
        <w:t xml:space="preserve"> </w:t>
      </w:r>
      <w:r w:rsidR="005A7FAB">
        <w:rPr>
          <w:color w:val="000000" w:themeColor="text1"/>
        </w:rPr>
        <w:t xml:space="preserve">(Chartres </w:t>
      </w:r>
      <w:r w:rsidR="005A7FAB" w:rsidRPr="002A15E9">
        <w:rPr>
          <w:i/>
          <w:iCs/>
          <w:color w:val="000000" w:themeColor="text1"/>
        </w:rPr>
        <w:t>et al</w:t>
      </w:r>
      <w:r w:rsidR="005A7FAB">
        <w:rPr>
          <w:color w:val="000000" w:themeColor="text1"/>
        </w:rPr>
        <w:t>., 2019; Rao, 2022)</w:t>
      </w:r>
      <w:r>
        <w:t>.</w:t>
      </w:r>
      <w:r w:rsidR="007946E5">
        <w:t xml:space="preserve"> </w:t>
      </w:r>
      <w:r>
        <w:t>Abi</w:t>
      </w:r>
      <w:r w:rsidR="007946E5">
        <w:t>’s case is a relevant example of such</w:t>
      </w:r>
      <w:r w:rsidR="007B7B66">
        <w:t xml:space="preserve"> a</w:t>
      </w:r>
      <w:r w:rsidR="007946E5">
        <w:t xml:space="preserve"> sponsorship bias, which may have a detrimental impact on public health. </w:t>
      </w:r>
    </w:p>
    <w:p w14:paraId="64EE70AC" w14:textId="77777777" w:rsidR="00FB6ECA" w:rsidRDefault="00FB6ECA" w:rsidP="00FB6ECA">
      <w:pPr>
        <w:spacing w:line="276" w:lineRule="auto"/>
        <w:jc w:val="both"/>
      </w:pPr>
    </w:p>
    <w:p w14:paraId="47DE0FD3" w14:textId="4FEE0A4A" w:rsidR="00FB6ECA" w:rsidRDefault="007B7B66" w:rsidP="00FB6ECA">
      <w:pPr>
        <w:spacing w:line="276" w:lineRule="auto"/>
        <w:jc w:val="both"/>
      </w:pPr>
      <w:r>
        <w:t xml:space="preserve">To ensure research is conducted ethically, </w:t>
      </w:r>
      <w:r w:rsidR="004278FE">
        <w:t xml:space="preserve">regardless of its focus on the food industry, </w:t>
      </w:r>
      <w:r>
        <w:t>its design should not intrinsically lead to any specific outcomes prior to conducting it</w:t>
      </w:r>
      <w:r w:rsidR="005A7FAB">
        <w:t xml:space="preserve"> </w:t>
      </w:r>
      <w:r w:rsidR="005A7FAB">
        <w:t>(</w:t>
      </w:r>
      <w:proofErr w:type="spellStart"/>
      <w:r w:rsidR="005A7FAB">
        <w:rPr>
          <w:color w:val="000000" w:themeColor="text1"/>
        </w:rPr>
        <w:t>Kretser</w:t>
      </w:r>
      <w:proofErr w:type="spellEnd"/>
      <w:r w:rsidR="005A7FAB">
        <w:rPr>
          <w:color w:val="000000" w:themeColor="text1"/>
        </w:rPr>
        <w:t xml:space="preserve"> </w:t>
      </w:r>
      <w:r w:rsidR="005A7FAB" w:rsidRPr="002A15E9">
        <w:rPr>
          <w:i/>
          <w:iCs/>
          <w:color w:val="000000" w:themeColor="text1"/>
        </w:rPr>
        <w:t>et al</w:t>
      </w:r>
      <w:r w:rsidR="005A7FAB">
        <w:rPr>
          <w:color w:val="000000" w:themeColor="text1"/>
        </w:rPr>
        <w:t xml:space="preserve">., 2019; </w:t>
      </w:r>
      <w:proofErr w:type="spellStart"/>
      <w:r w:rsidR="005A7FAB" w:rsidRPr="00FC3D5E">
        <w:t>Lillford</w:t>
      </w:r>
      <w:proofErr w:type="spellEnd"/>
      <w:r w:rsidR="005A7FAB" w:rsidRPr="00FC3D5E">
        <w:t xml:space="preserve"> &amp; </w:t>
      </w:r>
      <w:proofErr w:type="spellStart"/>
      <w:r w:rsidR="005A7FAB" w:rsidRPr="00FC3D5E">
        <w:t>Hermansson</w:t>
      </w:r>
      <w:proofErr w:type="spellEnd"/>
      <w:r w:rsidR="005A7FAB" w:rsidRPr="00FC3D5E">
        <w:t>, 2021</w:t>
      </w:r>
      <w:r w:rsidR="005A7FAB">
        <w:t>)</w:t>
      </w:r>
      <w:r>
        <w:t>, i.e., regardless of the data collected and analysed downstream; furthermore, an ethical agreement needs to be set between the sponsor and the researcher, and such conflicts of interests must be declared upon submission of a research study for possible publication</w:t>
      </w:r>
      <w:r w:rsidR="004278FE">
        <w:t>.</w:t>
      </w:r>
      <w:r w:rsidR="00644E2C">
        <w:t xml:space="preserve"> Any manipulations of data and/or results from a research study would be examples of scientific misconduct, which may result in retracted manuscripts, fines, and/or other legal and economic downsides for the interested parties</w:t>
      </w:r>
      <w:r w:rsidR="00B062A6">
        <w:t xml:space="preserve"> </w:t>
      </w:r>
      <w:r w:rsidR="00B062A6">
        <w:rPr>
          <w:color w:val="000000" w:themeColor="text1"/>
        </w:rPr>
        <w:t xml:space="preserve">(Chartres </w:t>
      </w:r>
      <w:r w:rsidR="00B062A6" w:rsidRPr="002A15E9">
        <w:rPr>
          <w:i/>
          <w:iCs/>
          <w:color w:val="000000" w:themeColor="text1"/>
        </w:rPr>
        <w:t>et al</w:t>
      </w:r>
      <w:r w:rsidR="00B062A6">
        <w:rPr>
          <w:color w:val="000000" w:themeColor="text1"/>
        </w:rPr>
        <w:t>., 2019; Rao, 2022)</w:t>
      </w:r>
      <w:r w:rsidR="00644E2C">
        <w:t>. Thus, to protect Abi’s research integrity, the study must be designed and conducted in an unbiased manner and grounded on quantitative data. Conflicts of interests must be declared for additional transparency.</w:t>
      </w:r>
    </w:p>
    <w:p w14:paraId="0354E20F" w14:textId="77777777" w:rsidR="005427AF" w:rsidRDefault="005427AF" w:rsidP="00FB6ECA">
      <w:pPr>
        <w:spacing w:line="276" w:lineRule="auto"/>
        <w:jc w:val="both"/>
      </w:pPr>
    </w:p>
    <w:p w14:paraId="0DE17396" w14:textId="77777777" w:rsidR="005427AF" w:rsidRDefault="005427AF" w:rsidP="00FB6ECA">
      <w:pPr>
        <w:spacing w:line="276" w:lineRule="auto"/>
        <w:jc w:val="both"/>
      </w:pPr>
    </w:p>
    <w:p w14:paraId="57C5C08E" w14:textId="77777777" w:rsidR="00644E2C" w:rsidRDefault="00644E2C" w:rsidP="00FB6ECA">
      <w:pPr>
        <w:spacing w:line="276" w:lineRule="auto"/>
        <w:jc w:val="both"/>
      </w:pPr>
    </w:p>
    <w:p w14:paraId="39FA4D4D" w14:textId="77777777" w:rsidR="001F0695" w:rsidRDefault="001F0695" w:rsidP="00FB6ECA">
      <w:pPr>
        <w:spacing w:line="276" w:lineRule="auto"/>
        <w:jc w:val="both"/>
        <w:rPr>
          <w:b/>
          <w:bCs/>
          <w:sz w:val="28"/>
          <w:szCs w:val="28"/>
        </w:rPr>
      </w:pPr>
    </w:p>
    <w:p w14:paraId="51A9D0CF" w14:textId="77777777" w:rsidR="001F0695" w:rsidRDefault="001F0695" w:rsidP="00FB6ECA">
      <w:pPr>
        <w:spacing w:line="276" w:lineRule="auto"/>
        <w:jc w:val="both"/>
        <w:rPr>
          <w:b/>
          <w:bCs/>
          <w:sz w:val="28"/>
          <w:szCs w:val="28"/>
        </w:rPr>
      </w:pPr>
    </w:p>
    <w:p w14:paraId="292DAD9E" w14:textId="77777777" w:rsidR="001F0695" w:rsidRDefault="001F0695" w:rsidP="00FB6ECA">
      <w:pPr>
        <w:spacing w:line="276" w:lineRule="auto"/>
        <w:jc w:val="both"/>
        <w:rPr>
          <w:b/>
          <w:bCs/>
          <w:sz w:val="28"/>
          <w:szCs w:val="28"/>
        </w:rPr>
      </w:pPr>
    </w:p>
    <w:p w14:paraId="026867F1" w14:textId="77777777" w:rsidR="001F0695" w:rsidRDefault="001F0695" w:rsidP="00FB6ECA">
      <w:pPr>
        <w:spacing w:line="276" w:lineRule="auto"/>
        <w:jc w:val="both"/>
        <w:rPr>
          <w:b/>
          <w:bCs/>
          <w:sz w:val="28"/>
          <w:szCs w:val="28"/>
        </w:rPr>
      </w:pPr>
    </w:p>
    <w:p w14:paraId="67673716" w14:textId="77777777" w:rsidR="001F0695" w:rsidRDefault="001F0695" w:rsidP="00FB6ECA">
      <w:pPr>
        <w:spacing w:line="276" w:lineRule="auto"/>
        <w:jc w:val="both"/>
        <w:rPr>
          <w:b/>
          <w:bCs/>
          <w:sz w:val="28"/>
          <w:szCs w:val="28"/>
        </w:rPr>
      </w:pPr>
    </w:p>
    <w:p w14:paraId="32A04AEC" w14:textId="490F34BE" w:rsidR="00644E2C" w:rsidRPr="00644E2C" w:rsidRDefault="00644E2C" w:rsidP="00FB6ECA">
      <w:pPr>
        <w:spacing w:line="276" w:lineRule="auto"/>
        <w:jc w:val="both"/>
        <w:rPr>
          <w:b/>
          <w:bCs/>
          <w:sz w:val="28"/>
          <w:szCs w:val="28"/>
        </w:rPr>
      </w:pPr>
      <w:r w:rsidRPr="00644E2C">
        <w:rPr>
          <w:b/>
          <w:bCs/>
          <w:sz w:val="28"/>
          <w:szCs w:val="28"/>
        </w:rPr>
        <w:lastRenderedPageBreak/>
        <w:t>References</w:t>
      </w:r>
    </w:p>
    <w:p w14:paraId="12D6B78E" w14:textId="77777777" w:rsidR="00644E2C" w:rsidRDefault="00644E2C" w:rsidP="00FB6ECA">
      <w:pPr>
        <w:spacing w:line="276" w:lineRule="auto"/>
        <w:jc w:val="both"/>
      </w:pPr>
    </w:p>
    <w:p w14:paraId="6C626121" w14:textId="197C0D98" w:rsidR="00C37C94" w:rsidRDefault="00C37C94" w:rsidP="00FB6ECA">
      <w:pPr>
        <w:spacing w:line="276" w:lineRule="auto"/>
        <w:jc w:val="both"/>
      </w:pPr>
      <w:r w:rsidRPr="00C37C94">
        <w:t xml:space="preserve">Chartres, N., </w:t>
      </w:r>
      <w:proofErr w:type="spellStart"/>
      <w:r w:rsidRPr="00C37C94">
        <w:t>Fabbri</w:t>
      </w:r>
      <w:proofErr w:type="spellEnd"/>
      <w:r w:rsidRPr="00C37C94">
        <w:t>, A., McDonald, S., Turton, J., Allman-</w:t>
      </w:r>
      <w:proofErr w:type="spellStart"/>
      <w:r w:rsidRPr="00C37C94">
        <w:t>Farinelli</w:t>
      </w:r>
      <w:proofErr w:type="spellEnd"/>
      <w:r w:rsidRPr="00C37C94">
        <w:t xml:space="preserve">, M., McKenzie, J., &amp; </w:t>
      </w:r>
      <w:proofErr w:type="spellStart"/>
      <w:r w:rsidRPr="00C37C94">
        <w:t>Bero</w:t>
      </w:r>
      <w:proofErr w:type="spellEnd"/>
      <w:r w:rsidRPr="00C37C94">
        <w:t>, L. (2019) Association of industry ties with outcomes of studies examining the effect of wholegrain foods on cardiovascular disease and mortality: systematic review and meta-analysis. </w:t>
      </w:r>
      <w:r w:rsidRPr="00C37C94">
        <w:rPr>
          <w:i/>
          <w:iCs/>
        </w:rPr>
        <w:t>BMJ open</w:t>
      </w:r>
      <w:r w:rsidRPr="00C37C94">
        <w:t> 9(5)</w:t>
      </w:r>
      <w:r>
        <w:t>:</w:t>
      </w:r>
      <w:r w:rsidRPr="00C37C94">
        <w:t xml:space="preserve"> e022912.</w:t>
      </w:r>
    </w:p>
    <w:p w14:paraId="31160284" w14:textId="77777777" w:rsidR="00C37C94" w:rsidRDefault="00C37C94" w:rsidP="00FB6ECA">
      <w:pPr>
        <w:spacing w:line="276" w:lineRule="auto"/>
        <w:jc w:val="both"/>
      </w:pPr>
    </w:p>
    <w:p w14:paraId="01504AD9" w14:textId="1535193D" w:rsidR="00103A05" w:rsidRDefault="00103A05" w:rsidP="00FB6ECA">
      <w:pPr>
        <w:spacing w:line="276" w:lineRule="auto"/>
        <w:jc w:val="both"/>
      </w:pPr>
      <w:r w:rsidRPr="00103A05">
        <w:t xml:space="preserve">Cullerton, K., Adams, J., </w:t>
      </w:r>
      <w:proofErr w:type="spellStart"/>
      <w:r w:rsidRPr="00103A05">
        <w:t>Forouhi</w:t>
      </w:r>
      <w:proofErr w:type="spellEnd"/>
      <w:r w:rsidRPr="00103A05">
        <w:t>, N., Francis, O., &amp; White, M. (2019) What principles should guide interactions between population health researchers and the food industry? Systematic scoping review of peer‐reviewed and grey literature. </w:t>
      </w:r>
      <w:r w:rsidRPr="00103A05">
        <w:rPr>
          <w:i/>
          <w:iCs/>
        </w:rPr>
        <w:t>Obesity Reviews</w:t>
      </w:r>
      <w:r w:rsidRPr="00103A05">
        <w:t> 20(8)</w:t>
      </w:r>
      <w:r>
        <w:t>:</w:t>
      </w:r>
      <w:r w:rsidRPr="00103A05">
        <w:t xml:space="preserve"> 1073-1084.</w:t>
      </w:r>
    </w:p>
    <w:p w14:paraId="33F28C59" w14:textId="77777777" w:rsidR="00103A05" w:rsidRDefault="00103A05" w:rsidP="00FB6ECA">
      <w:pPr>
        <w:spacing w:line="276" w:lineRule="auto"/>
        <w:jc w:val="both"/>
      </w:pPr>
    </w:p>
    <w:p w14:paraId="5DBB4E8E" w14:textId="00540FE6" w:rsidR="00644E2C" w:rsidRDefault="00184B68" w:rsidP="00FB6ECA">
      <w:pPr>
        <w:spacing w:line="276" w:lineRule="auto"/>
        <w:jc w:val="both"/>
      </w:pPr>
      <w:proofErr w:type="spellStart"/>
      <w:r w:rsidRPr="00184B68">
        <w:t>Kretser</w:t>
      </w:r>
      <w:proofErr w:type="spellEnd"/>
      <w:r w:rsidRPr="00184B68">
        <w:t xml:space="preserve">, A., Murphy, D., </w:t>
      </w:r>
      <w:proofErr w:type="spellStart"/>
      <w:r w:rsidRPr="00184B68">
        <w:t>Bertuzzi</w:t>
      </w:r>
      <w:proofErr w:type="spellEnd"/>
      <w:r w:rsidRPr="00184B68">
        <w:t>, S., Abraham, T., Allison, D. B., Boor, K. J., ... &amp; Yada, R. (2019)</w:t>
      </w:r>
      <w:r>
        <w:t xml:space="preserve"> </w:t>
      </w:r>
      <w:r w:rsidRPr="00184B68">
        <w:t>Scientific integrity principles and best practices: recommendations from a scientific integrity consortium. </w:t>
      </w:r>
      <w:r w:rsidRPr="00184B68">
        <w:rPr>
          <w:i/>
          <w:iCs/>
        </w:rPr>
        <w:t>Science and Engineering Ethics</w:t>
      </w:r>
      <w:r w:rsidRPr="00184B68">
        <w:t> 25</w:t>
      </w:r>
      <w:r>
        <w:t>:</w:t>
      </w:r>
      <w:r w:rsidRPr="00184B68">
        <w:t xml:space="preserve"> 327-355.</w:t>
      </w:r>
    </w:p>
    <w:p w14:paraId="110E6DFE" w14:textId="77777777" w:rsidR="00184B68" w:rsidRDefault="00184B68" w:rsidP="00FB6ECA">
      <w:pPr>
        <w:spacing w:line="276" w:lineRule="auto"/>
        <w:jc w:val="both"/>
      </w:pPr>
    </w:p>
    <w:p w14:paraId="5BEE936B" w14:textId="5F749345" w:rsidR="00FC3D5E" w:rsidRDefault="00FC3D5E" w:rsidP="00FB6ECA">
      <w:pPr>
        <w:spacing w:line="276" w:lineRule="auto"/>
        <w:jc w:val="both"/>
      </w:pPr>
      <w:proofErr w:type="spellStart"/>
      <w:r w:rsidRPr="00FC3D5E">
        <w:t>Lillford</w:t>
      </w:r>
      <w:proofErr w:type="spellEnd"/>
      <w:r w:rsidRPr="00FC3D5E">
        <w:t xml:space="preserve">, P., &amp; </w:t>
      </w:r>
      <w:proofErr w:type="spellStart"/>
      <w:r w:rsidRPr="00FC3D5E">
        <w:t>Hermansson</w:t>
      </w:r>
      <w:proofErr w:type="spellEnd"/>
      <w:r w:rsidRPr="00FC3D5E">
        <w:t>, A. M. (2021) Global missions and the critical needs of food science and technology. </w:t>
      </w:r>
      <w:r w:rsidRPr="00FC3D5E">
        <w:rPr>
          <w:i/>
          <w:iCs/>
        </w:rPr>
        <w:t>Trends in Food Science &amp; Technology</w:t>
      </w:r>
      <w:r w:rsidRPr="00FC3D5E">
        <w:t> 111</w:t>
      </w:r>
      <w:r>
        <w:t>:</w:t>
      </w:r>
      <w:r w:rsidRPr="00FC3D5E">
        <w:t xml:space="preserve"> 800-811.</w:t>
      </w:r>
    </w:p>
    <w:p w14:paraId="1D7ACBC5" w14:textId="77777777" w:rsidR="004D216E" w:rsidRDefault="004D216E" w:rsidP="00FB6ECA">
      <w:pPr>
        <w:spacing w:line="276" w:lineRule="auto"/>
        <w:jc w:val="both"/>
      </w:pPr>
    </w:p>
    <w:p w14:paraId="2E5D6B02" w14:textId="0AD69D15" w:rsidR="004D216E" w:rsidRDefault="004D216E" w:rsidP="00FB6ECA">
      <w:pPr>
        <w:spacing w:line="276" w:lineRule="auto"/>
        <w:jc w:val="both"/>
      </w:pPr>
      <w:r w:rsidRPr="004D216E">
        <w:t>Rao, A. (2022) Industry-funded research and bias in food science. </w:t>
      </w:r>
      <w:r w:rsidRPr="004D216E">
        <w:rPr>
          <w:i/>
          <w:iCs/>
        </w:rPr>
        <w:t>Quantitative Marketing and Economics</w:t>
      </w:r>
      <w:r w:rsidRPr="004D216E">
        <w:t> 20(1)</w:t>
      </w:r>
      <w:r>
        <w:t>:</w:t>
      </w:r>
      <w:r w:rsidRPr="004D216E">
        <w:t xml:space="preserve"> 39-67.</w:t>
      </w:r>
    </w:p>
    <w:p w14:paraId="71DF6D1B" w14:textId="77777777" w:rsidR="005E7D72" w:rsidRDefault="005E7D72" w:rsidP="00FB6ECA">
      <w:pPr>
        <w:spacing w:line="276" w:lineRule="auto"/>
        <w:jc w:val="both"/>
      </w:pPr>
    </w:p>
    <w:p w14:paraId="3DCB3A9A" w14:textId="7DB92D91" w:rsidR="00FC3D5E" w:rsidRDefault="005E7D72" w:rsidP="00FB6ECA">
      <w:pPr>
        <w:spacing w:line="276" w:lineRule="auto"/>
        <w:jc w:val="both"/>
      </w:pPr>
      <w:r w:rsidRPr="005E7D72">
        <w:t>Wallace, T. C., Bailey, R. L., Blumberg, J. B., Burton-Freeman, B., Chen, C. O., Crowe-White, K. M., ... &amp; Wang, D. D. (2020) Fruits, vegetables, and health: A comprehensive narrative, umbrella review of the science and recommendations for enhanced public policy to improve intake. </w:t>
      </w:r>
      <w:r w:rsidRPr="005E7D72">
        <w:rPr>
          <w:i/>
          <w:iCs/>
        </w:rPr>
        <w:t>Critical reviews in food science and nutrition</w:t>
      </w:r>
      <w:r w:rsidRPr="005E7D72">
        <w:t> 60(13)</w:t>
      </w:r>
      <w:r>
        <w:t>:</w:t>
      </w:r>
      <w:r w:rsidRPr="005E7D72">
        <w:t xml:space="preserve"> 2174-2211.</w:t>
      </w:r>
    </w:p>
    <w:sectPr w:rsidR="00FC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CA"/>
    <w:rsid w:val="00084BAE"/>
    <w:rsid w:val="00103A05"/>
    <w:rsid w:val="00116922"/>
    <w:rsid w:val="00184B68"/>
    <w:rsid w:val="001F0695"/>
    <w:rsid w:val="002A15E9"/>
    <w:rsid w:val="002E5274"/>
    <w:rsid w:val="003900CF"/>
    <w:rsid w:val="003C26B0"/>
    <w:rsid w:val="003F5399"/>
    <w:rsid w:val="00421D3C"/>
    <w:rsid w:val="004278FE"/>
    <w:rsid w:val="004B5E15"/>
    <w:rsid w:val="004D216E"/>
    <w:rsid w:val="005427AF"/>
    <w:rsid w:val="00552FA0"/>
    <w:rsid w:val="005A7FAB"/>
    <w:rsid w:val="005C4AAD"/>
    <w:rsid w:val="005E7D72"/>
    <w:rsid w:val="005F2C6A"/>
    <w:rsid w:val="00644E2C"/>
    <w:rsid w:val="00725566"/>
    <w:rsid w:val="007946E5"/>
    <w:rsid w:val="007B7B66"/>
    <w:rsid w:val="00830C8D"/>
    <w:rsid w:val="00836174"/>
    <w:rsid w:val="00896404"/>
    <w:rsid w:val="00912D17"/>
    <w:rsid w:val="00916284"/>
    <w:rsid w:val="009A16DC"/>
    <w:rsid w:val="009C6222"/>
    <w:rsid w:val="00AD249C"/>
    <w:rsid w:val="00B062A6"/>
    <w:rsid w:val="00B97ADE"/>
    <w:rsid w:val="00C37C94"/>
    <w:rsid w:val="00E61729"/>
    <w:rsid w:val="00EE6DF1"/>
    <w:rsid w:val="00FB6ECA"/>
    <w:rsid w:val="00F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17466"/>
  <w15:chartTrackingRefBased/>
  <w15:docId w15:val="{91875499-E42F-7A43-9856-3061C9B0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2023-04-22T22:56:00Z</dcterms:created>
  <dcterms:modified xsi:type="dcterms:W3CDTF">2023-04-23T09:38:00Z</dcterms:modified>
</cp:coreProperties>
</file>