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3D81E" w14:textId="21E2F092" w:rsidR="00F07406" w:rsidRDefault="008B09BE" w:rsidP="002252B4">
      <w:pPr>
        <w:spacing w:line="360" w:lineRule="auto"/>
        <w:jc w:val="both"/>
        <w:rPr>
          <w:rFonts w:ascii="Calibri" w:eastAsia="Times New Roman" w:hAnsi="Calibri" w:cs="Calibri"/>
          <w:lang w:eastAsia="en-GB"/>
        </w:rPr>
      </w:pPr>
      <w:r>
        <w:rPr>
          <w:rFonts w:ascii="Calibri" w:eastAsia="Times New Roman" w:hAnsi="Calibri" w:cs="Calibri"/>
          <w:noProof/>
          <w:lang w:eastAsia="en-GB"/>
        </w:rPr>
        <w:drawing>
          <wp:inline distT="0" distB="0" distL="0" distR="0" wp14:anchorId="735B17DD" wp14:editId="1A33E2DD">
            <wp:extent cx="5731510" cy="33813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r>
        <w:rPr>
          <w:rFonts w:ascii="Calibri" w:eastAsia="Times New Roman" w:hAnsi="Calibri" w:cs="Calibri"/>
          <w:noProof/>
          <w:lang w:eastAsia="en-GB"/>
        </w:rPr>
        <w:drawing>
          <wp:inline distT="0" distB="0" distL="0" distR="0" wp14:anchorId="7CF71442" wp14:editId="277445AC">
            <wp:extent cx="5731510" cy="2346960"/>
            <wp:effectExtent l="0" t="0" r="0"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46960"/>
                    </a:xfrm>
                    <a:prstGeom prst="rect">
                      <a:avLst/>
                    </a:prstGeom>
                  </pic:spPr>
                </pic:pic>
              </a:graphicData>
            </a:graphic>
          </wp:inline>
        </w:drawing>
      </w:r>
    </w:p>
    <w:p w14:paraId="60E74FCE" w14:textId="44391E62" w:rsidR="00F07406" w:rsidRDefault="008B09BE" w:rsidP="002252B4">
      <w:pPr>
        <w:spacing w:line="360" w:lineRule="auto"/>
        <w:jc w:val="both"/>
        <w:rPr>
          <w:rFonts w:ascii="Calibri" w:eastAsia="Times New Roman" w:hAnsi="Calibri" w:cs="Calibri"/>
          <w:lang w:eastAsia="en-GB"/>
        </w:rPr>
      </w:pPr>
      <w:r>
        <w:rPr>
          <w:rFonts w:ascii="Calibri" w:eastAsia="Times New Roman" w:hAnsi="Calibri" w:cs="Calibri"/>
          <w:noProof/>
          <w:lang w:eastAsia="en-GB"/>
        </w:rPr>
        <w:drawing>
          <wp:inline distT="0" distB="0" distL="0" distR="0" wp14:anchorId="4870D23C" wp14:editId="4FDF4A7B">
            <wp:extent cx="5731510" cy="19875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5E4F7D4D" w14:textId="4513A652" w:rsidR="008B09BE" w:rsidRDefault="008B09BE" w:rsidP="002252B4">
      <w:pPr>
        <w:spacing w:line="360" w:lineRule="auto"/>
        <w:jc w:val="both"/>
        <w:rPr>
          <w:rFonts w:ascii="Calibri" w:eastAsia="Times New Roman" w:hAnsi="Calibri" w:cs="Calibri"/>
          <w:lang w:eastAsia="en-GB"/>
        </w:rPr>
      </w:pPr>
    </w:p>
    <w:p w14:paraId="1DE06438" w14:textId="77777777" w:rsidR="008B09BE" w:rsidRDefault="008B09BE" w:rsidP="002252B4">
      <w:pPr>
        <w:spacing w:line="360" w:lineRule="auto"/>
        <w:jc w:val="both"/>
        <w:rPr>
          <w:rFonts w:ascii="Calibri" w:eastAsia="Times New Roman" w:hAnsi="Calibri" w:cs="Calibri"/>
          <w:lang w:eastAsia="en-GB"/>
        </w:rPr>
      </w:pPr>
    </w:p>
    <w:p w14:paraId="24D07F75" w14:textId="4006D35C" w:rsidR="0069782E" w:rsidRPr="002252B4" w:rsidRDefault="00AC4EFF" w:rsidP="002252B4">
      <w:pPr>
        <w:spacing w:line="360" w:lineRule="auto"/>
        <w:jc w:val="both"/>
        <w:rPr>
          <w:rFonts w:ascii="Calibri" w:eastAsia="Times New Roman" w:hAnsi="Calibri" w:cs="Calibri"/>
          <w:lang w:eastAsia="en-GB"/>
        </w:rPr>
      </w:pPr>
      <w:r w:rsidRPr="002252B4">
        <w:rPr>
          <w:rFonts w:ascii="Calibri" w:eastAsia="Times New Roman" w:hAnsi="Calibri" w:cs="Calibri"/>
          <w:lang w:eastAsia="en-GB"/>
        </w:rPr>
        <w:lastRenderedPageBreak/>
        <w:t>Web applications and application programming interfaces (APIs) in finance and healthcare may not be properly configured to protect sensitive data, including personal identifiable information (PII) (</w:t>
      </w:r>
      <w:r w:rsidR="00F63F1F" w:rsidRPr="002252B4">
        <w:rPr>
          <w:rFonts w:ascii="Calibri" w:eastAsia="Times New Roman" w:hAnsi="Calibri" w:cs="Calibri"/>
          <w:lang w:eastAsia="en-GB"/>
        </w:rPr>
        <w:t>OWASP, 2017, 2021</w:t>
      </w:r>
      <w:r w:rsidRPr="002252B4">
        <w:rPr>
          <w:rFonts w:ascii="Calibri" w:eastAsia="Times New Roman" w:hAnsi="Calibri" w:cs="Calibri"/>
          <w:lang w:eastAsia="en-GB"/>
        </w:rPr>
        <w:t>). Thus, cyber</w:t>
      </w:r>
      <w:r w:rsidR="003C1D96" w:rsidRPr="002252B4">
        <w:rPr>
          <w:rFonts w:ascii="Calibri" w:eastAsia="Times New Roman" w:hAnsi="Calibri" w:cs="Calibri"/>
          <w:lang w:eastAsia="en-GB"/>
        </w:rPr>
        <w:t>-</w:t>
      </w:r>
      <w:r w:rsidRPr="002252B4">
        <w:rPr>
          <w:rFonts w:ascii="Calibri" w:eastAsia="Times New Roman" w:hAnsi="Calibri" w:cs="Calibri"/>
          <w:lang w:eastAsia="en-GB"/>
        </w:rPr>
        <w:t>attacks may retrieve such information and use it to commit fraud</w:t>
      </w:r>
      <w:r w:rsidR="003C1D96" w:rsidRPr="002252B4">
        <w:rPr>
          <w:rFonts w:ascii="Calibri" w:eastAsia="Times New Roman" w:hAnsi="Calibri" w:cs="Calibri"/>
          <w:lang w:eastAsia="en-GB"/>
        </w:rPr>
        <w:t xml:space="preserve"> or identity theft,</w:t>
      </w:r>
      <w:r w:rsidRPr="002252B4">
        <w:rPr>
          <w:rFonts w:ascii="Calibri" w:eastAsia="Times New Roman" w:hAnsi="Calibri" w:cs="Calibri"/>
          <w:lang w:eastAsia="en-GB"/>
        </w:rPr>
        <w:t xml:space="preserve"> or </w:t>
      </w:r>
      <w:r w:rsidR="003C1D96" w:rsidRPr="002252B4">
        <w:rPr>
          <w:rFonts w:ascii="Calibri" w:eastAsia="Times New Roman" w:hAnsi="Calibri" w:cs="Calibri"/>
          <w:lang w:eastAsia="en-GB"/>
        </w:rPr>
        <w:t>they may compromise its integrity. Such sensitive data are often accessed by these unauthorised parties when absent or inadequate data protection mechanisms occur, e.g., encryption at rest or in transit, or permissions not appropriately set</w:t>
      </w:r>
      <w:r w:rsidR="00F63F1F" w:rsidRPr="002252B4">
        <w:rPr>
          <w:rFonts w:ascii="Calibri" w:eastAsia="Times New Roman" w:hAnsi="Calibri" w:cs="Calibri"/>
          <w:lang w:eastAsia="en-GB"/>
        </w:rPr>
        <w:t xml:space="preserve"> (OWASP, 2017, 2021)</w:t>
      </w:r>
      <w:r w:rsidR="003C1D96" w:rsidRPr="002252B4">
        <w:rPr>
          <w:rFonts w:ascii="Calibri" w:eastAsia="Times New Roman" w:hAnsi="Calibri" w:cs="Calibri"/>
          <w:lang w:eastAsia="en-GB"/>
        </w:rPr>
        <w:t>.</w:t>
      </w:r>
    </w:p>
    <w:p w14:paraId="0C2C6968" w14:textId="2E3A466F" w:rsidR="0069782E" w:rsidRPr="002252B4" w:rsidRDefault="0069782E" w:rsidP="002252B4">
      <w:pPr>
        <w:spacing w:line="360" w:lineRule="auto"/>
        <w:jc w:val="both"/>
        <w:rPr>
          <w:rFonts w:ascii="Calibri" w:eastAsia="Times New Roman" w:hAnsi="Calibri" w:cs="Calibri"/>
          <w:lang w:eastAsia="en-GB"/>
        </w:rPr>
      </w:pPr>
    </w:p>
    <w:p w14:paraId="0CACD26A" w14:textId="1E368E39" w:rsidR="003C1D96" w:rsidRPr="002252B4" w:rsidRDefault="003C1D96" w:rsidP="002252B4">
      <w:pPr>
        <w:spacing w:line="360" w:lineRule="auto"/>
        <w:jc w:val="both"/>
        <w:rPr>
          <w:rFonts w:ascii="Calibri" w:eastAsia="Times New Roman" w:hAnsi="Calibri" w:cs="Calibri"/>
          <w:lang w:eastAsia="en-GB"/>
        </w:rPr>
      </w:pPr>
      <w:r w:rsidRPr="002252B4">
        <w:rPr>
          <w:rFonts w:ascii="Calibri" w:eastAsia="Times New Roman" w:hAnsi="Calibri" w:cs="Calibri"/>
          <w:lang w:eastAsia="en-GB"/>
        </w:rPr>
        <w:t>Until the OWASP’s ranking in 2017</w:t>
      </w:r>
      <w:r w:rsidR="00F63F1F" w:rsidRPr="002252B4">
        <w:rPr>
          <w:rFonts w:ascii="Calibri" w:eastAsia="Times New Roman" w:hAnsi="Calibri" w:cs="Calibri"/>
          <w:lang w:eastAsia="en-GB"/>
        </w:rPr>
        <w:t xml:space="preserve"> (</w:t>
      </w:r>
      <w:r w:rsidR="00F63F1F" w:rsidRPr="008F7992">
        <w:rPr>
          <w:rFonts w:ascii="Calibri" w:eastAsia="Times New Roman" w:hAnsi="Calibri" w:cs="Calibri"/>
          <w:shd w:val="clear" w:color="auto" w:fill="FFFFFF"/>
          <w:lang w:eastAsia="en-GB"/>
        </w:rPr>
        <w:t>Mitre</w:t>
      </w:r>
      <w:r w:rsidR="00F63F1F" w:rsidRPr="002252B4">
        <w:rPr>
          <w:rFonts w:ascii="Calibri" w:eastAsia="Times New Roman" w:hAnsi="Calibri" w:cs="Calibri"/>
          <w:shd w:val="clear" w:color="auto" w:fill="FFFFFF"/>
          <w:lang w:eastAsia="en-GB"/>
        </w:rPr>
        <w:t xml:space="preserve">, </w:t>
      </w:r>
      <w:r w:rsidR="00F63F1F" w:rsidRPr="008F7992">
        <w:rPr>
          <w:rFonts w:ascii="Calibri" w:eastAsia="Times New Roman" w:hAnsi="Calibri" w:cs="Calibri"/>
          <w:shd w:val="clear" w:color="auto" w:fill="FFFFFF"/>
          <w:lang w:eastAsia="en-GB"/>
        </w:rPr>
        <w:t>2017)</w:t>
      </w:r>
      <w:r w:rsidRPr="002252B4">
        <w:rPr>
          <w:rFonts w:ascii="Calibri" w:eastAsia="Times New Roman" w:hAnsi="Calibri" w:cs="Calibri"/>
          <w:lang w:eastAsia="en-GB"/>
        </w:rPr>
        <w:t>, these cryptographic failures (OWASP, 2021), were named ‘sensitive data exposure’, were ranked third</w:t>
      </w:r>
      <w:r w:rsidR="00F63F1F" w:rsidRPr="002252B4">
        <w:rPr>
          <w:rFonts w:ascii="Calibri" w:eastAsia="Times New Roman" w:hAnsi="Calibri" w:cs="Calibri"/>
          <w:lang w:eastAsia="en-GB"/>
        </w:rPr>
        <w:t xml:space="preserve"> (OWASP, 2017)</w:t>
      </w:r>
      <w:r w:rsidRPr="002252B4">
        <w:rPr>
          <w:rFonts w:ascii="Calibri" w:eastAsia="Times New Roman" w:hAnsi="Calibri" w:cs="Calibri"/>
          <w:lang w:eastAsia="en-GB"/>
        </w:rPr>
        <w:t xml:space="preserve">, but </w:t>
      </w:r>
      <w:r w:rsidR="00F63F1F" w:rsidRPr="002252B4">
        <w:rPr>
          <w:rFonts w:ascii="Calibri" w:eastAsia="Times New Roman" w:hAnsi="Calibri" w:cs="Calibri"/>
          <w:lang w:eastAsia="en-GB"/>
        </w:rPr>
        <w:t>recently</w:t>
      </w:r>
      <w:r w:rsidRPr="002252B4">
        <w:rPr>
          <w:rFonts w:ascii="Calibri" w:eastAsia="Times New Roman" w:hAnsi="Calibri" w:cs="Calibri"/>
          <w:lang w:eastAsia="en-GB"/>
        </w:rPr>
        <w:t xml:space="preserve"> rose to the second place</w:t>
      </w:r>
      <w:r w:rsidR="00F63F1F" w:rsidRPr="002252B4">
        <w:rPr>
          <w:rFonts w:ascii="Calibri" w:eastAsia="Times New Roman" w:hAnsi="Calibri" w:cs="Calibri"/>
          <w:lang w:eastAsia="en-GB"/>
        </w:rPr>
        <w:t xml:space="preserve"> (OWASP, 2021)</w:t>
      </w:r>
      <w:r w:rsidRPr="002252B4">
        <w:rPr>
          <w:rFonts w:ascii="Calibri" w:eastAsia="Times New Roman" w:hAnsi="Calibri" w:cs="Calibri"/>
          <w:lang w:eastAsia="en-GB"/>
        </w:rPr>
        <w:t>. Besides PII, applications’ authentication tokens, credentials (usernames and passwords), and online transactions are at times compromised and exposed to unauthorised parties</w:t>
      </w:r>
      <w:r w:rsidR="00F63F1F" w:rsidRPr="002252B4">
        <w:rPr>
          <w:rFonts w:ascii="Calibri" w:eastAsia="Times New Roman" w:hAnsi="Calibri" w:cs="Calibri"/>
          <w:lang w:eastAsia="en-GB"/>
        </w:rPr>
        <w:t xml:space="preserve"> (OWASP, 2021)</w:t>
      </w:r>
      <w:r w:rsidRPr="002252B4">
        <w:rPr>
          <w:rFonts w:ascii="Calibri" w:eastAsia="Times New Roman" w:hAnsi="Calibri" w:cs="Calibri"/>
          <w:lang w:eastAsia="en-GB"/>
        </w:rPr>
        <w:t xml:space="preserve">. </w:t>
      </w:r>
    </w:p>
    <w:p w14:paraId="7E156416" w14:textId="5EF1839E" w:rsidR="003C1D96" w:rsidRPr="002252B4" w:rsidRDefault="00F63F1F" w:rsidP="002252B4">
      <w:pPr>
        <w:shd w:val="clear" w:color="auto" w:fill="FFFFFF"/>
        <w:spacing w:line="360" w:lineRule="auto"/>
        <w:jc w:val="both"/>
        <w:textAlignment w:val="baseline"/>
        <w:rPr>
          <w:rFonts w:ascii="Calibri" w:eastAsia="Times New Roman" w:hAnsi="Calibri" w:cs="Calibri"/>
          <w:bdr w:val="none" w:sz="0" w:space="0" w:color="auto" w:frame="1"/>
          <w:lang w:eastAsia="en-GB"/>
        </w:rPr>
      </w:pPr>
      <w:r w:rsidRPr="002252B4">
        <w:rPr>
          <w:rFonts w:ascii="Calibri" w:eastAsia="Times New Roman" w:hAnsi="Calibri" w:cs="Calibri"/>
          <w:bdr w:val="none" w:sz="0" w:space="0" w:color="auto" w:frame="1"/>
          <w:lang w:eastAsia="en-GB"/>
        </w:rPr>
        <w:t>For example, whilst cards’ details may be encrypted automatically at rest, when such information is in transit, there may be SQL injection-related faults (OWASP, 2017, 2021), which my colleague Andrea discussed, to retrieve such cards’ details in clear text, which cyber-attackers may use for malicious purposes.</w:t>
      </w:r>
    </w:p>
    <w:p w14:paraId="72531F35" w14:textId="1EDFF139" w:rsidR="00735B9A" w:rsidRPr="002252B4" w:rsidRDefault="00735B9A" w:rsidP="002252B4">
      <w:pPr>
        <w:shd w:val="clear" w:color="auto" w:fill="FFFFFF"/>
        <w:spacing w:line="360" w:lineRule="auto"/>
        <w:jc w:val="both"/>
        <w:textAlignment w:val="baseline"/>
        <w:rPr>
          <w:rFonts w:ascii="Calibri" w:eastAsia="Times New Roman" w:hAnsi="Calibri" w:cs="Calibri"/>
          <w:shd w:val="clear" w:color="auto" w:fill="FFFFFF"/>
          <w:lang w:eastAsia="en-GB"/>
        </w:rPr>
      </w:pPr>
      <w:r w:rsidRPr="002252B4">
        <w:rPr>
          <w:rFonts w:ascii="Calibri" w:eastAsia="Times New Roman" w:hAnsi="Calibri" w:cs="Calibri"/>
          <w:bdr w:val="none" w:sz="0" w:space="0" w:color="auto" w:frame="1"/>
          <w:lang w:eastAsia="en-GB"/>
        </w:rPr>
        <w:t>A flowchart</w:t>
      </w:r>
      <w:r w:rsidRPr="00AC4EFF">
        <w:rPr>
          <w:rFonts w:ascii="Calibri" w:eastAsia="Times New Roman" w:hAnsi="Calibri" w:cs="Calibri"/>
          <w:shd w:val="clear" w:color="auto" w:fill="FFFFFF"/>
          <w:lang w:eastAsia="en-GB"/>
        </w:rPr>
        <w:t xml:space="preserve"> of the</w:t>
      </w:r>
      <w:r w:rsidRPr="002252B4">
        <w:rPr>
          <w:rFonts w:ascii="Calibri" w:eastAsia="Times New Roman" w:hAnsi="Calibri" w:cs="Calibri"/>
          <w:shd w:val="clear" w:color="auto" w:fill="FFFFFF"/>
          <w:lang w:eastAsia="en-GB"/>
        </w:rPr>
        <w:t xml:space="preserve"> key</w:t>
      </w:r>
      <w:r w:rsidRPr="00AC4EFF">
        <w:rPr>
          <w:rFonts w:ascii="Calibri" w:eastAsia="Times New Roman" w:hAnsi="Calibri" w:cs="Calibri"/>
          <w:shd w:val="clear" w:color="auto" w:fill="FFFFFF"/>
          <w:lang w:eastAsia="en-GB"/>
        </w:rPr>
        <w:t xml:space="preserve"> steps </w:t>
      </w:r>
      <w:r w:rsidRPr="002252B4">
        <w:rPr>
          <w:rFonts w:ascii="Calibri" w:eastAsia="Times New Roman" w:hAnsi="Calibri" w:cs="Calibri"/>
          <w:shd w:val="clear" w:color="auto" w:fill="FFFFFF"/>
          <w:lang w:eastAsia="en-GB"/>
        </w:rPr>
        <w:t xml:space="preserve">that may lead to cryptographic failures is displayed in </w:t>
      </w:r>
      <w:r w:rsidRPr="002252B4">
        <w:rPr>
          <w:rFonts w:ascii="Calibri" w:eastAsia="Times New Roman" w:hAnsi="Calibri" w:cs="Calibri"/>
          <w:b/>
          <w:bCs/>
          <w:shd w:val="clear" w:color="auto" w:fill="FFFFFF"/>
          <w:lang w:eastAsia="en-GB"/>
        </w:rPr>
        <w:t>Fig. 1</w:t>
      </w:r>
      <w:r w:rsidR="00AC695B" w:rsidRPr="002252B4">
        <w:rPr>
          <w:rFonts w:ascii="Calibri" w:eastAsia="Times New Roman" w:hAnsi="Calibri" w:cs="Calibri"/>
          <w:shd w:val="clear" w:color="auto" w:fill="FFFFFF"/>
          <w:lang w:eastAsia="en-GB"/>
        </w:rPr>
        <w:t>, created via the tool Sequencediagram.org</w:t>
      </w:r>
      <w:r w:rsidR="009D113D" w:rsidRPr="002252B4">
        <w:rPr>
          <w:rFonts w:ascii="Calibri" w:eastAsia="Times New Roman" w:hAnsi="Calibri" w:cs="Calibri"/>
          <w:shd w:val="clear" w:color="auto" w:fill="FFFFFF"/>
          <w:lang w:eastAsia="en-GB"/>
        </w:rPr>
        <w:t xml:space="preserve"> (Sequence Diagram tool, 2022)</w:t>
      </w:r>
      <w:r w:rsidR="00AC695B" w:rsidRPr="002252B4">
        <w:rPr>
          <w:rFonts w:ascii="Calibri" w:eastAsia="Times New Roman" w:hAnsi="Calibri" w:cs="Calibri"/>
          <w:shd w:val="clear" w:color="auto" w:fill="FFFFFF"/>
          <w:lang w:eastAsia="en-GB"/>
        </w:rPr>
        <w:t>, deemed appropriate to illustrate the key steps involved in ‘sensitive data exposure’</w:t>
      </w:r>
      <w:r w:rsidRPr="002252B4">
        <w:rPr>
          <w:rFonts w:ascii="Calibri" w:eastAsia="Times New Roman" w:hAnsi="Calibri" w:cs="Calibri"/>
          <w:shd w:val="clear" w:color="auto" w:fill="FFFFFF"/>
          <w:lang w:eastAsia="en-GB"/>
        </w:rPr>
        <w:t>.</w:t>
      </w:r>
    </w:p>
    <w:p w14:paraId="667CE5CB" w14:textId="37017961" w:rsidR="00735B9A" w:rsidRPr="002252B4" w:rsidRDefault="00735B9A" w:rsidP="002252B4">
      <w:pPr>
        <w:shd w:val="clear" w:color="auto" w:fill="FFFFFF"/>
        <w:spacing w:line="360" w:lineRule="auto"/>
        <w:jc w:val="both"/>
        <w:textAlignment w:val="baseline"/>
        <w:rPr>
          <w:rFonts w:ascii="Calibri" w:eastAsia="Times New Roman" w:hAnsi="Calibri" w:cs="Calibri"/>
          <w:shd w:val="clear" w:color="auto" w:fill="FFFFFF"/>
          <w:lang w:eastAsia="en-GB"/>
        </w:rPr>
      </w:pPr>
    </w:p>
    <w:p w14:paraId="4E9A4173" w14:textId="2303BE33" w:rsidR="00735B9A" w:rsidRPr="002252B4" w:rsidRDefault="00AC695B" w:rsidP="002252B4">
      <w:pPr>
        <w:shd w:val="clear" w:color="auto" w:fill="FFFFFF"/>
        <w:spacing w:line="360" w:lineRule="auto"/>
        <w:jc w:val="both"/>
        <w:textAlignment w:val="baseline"/>
        <w:rPr>
          <w:rFonts w:ascii="Calibri" w:eastAsia="Times New Roman" w:hAnsi="Calibri" w:cs="Calibri"/>
          <w:shd w:val="clear" w:color="auto" w:fill="FFFFFF"/>
          <w:lang w:eastAsia="en-GB"/>
        </w:rPr>
      </w:pPr>
      <w:r w:rsidRPr="002252B4">
        <w:rPr>
          <w:rFonts w:ascii="Calibri" w:eastAsia="Times New Roman" w:hAnsi="Calibri" w:cs="Calibri"/>
          <w:noProof/>
          <w:shd w:val="clear" w:color="auto" w:fill="FFFFFF"/>
          <w:lang w:eastAsia="en-GB"/>
        </w:rPr>
        <w:drawing>
          <wp:inline distT="0" distB="0" distL="0" distR="0" wp14:anchorId="61A4826B" wp14:editId="5AB51F85">
            <wp:extent cx="5295900" cy="2260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95900" cy="2260600"/>
                    </a:xfrm>
                    <a:prstGeom prst="rect">
                      <a:avLst/>
                    </a:prstGeom>
                  </pic:spPr>
                </pic:pic>
              </a:graphicData>
            </a:graphic>
          </wp:inline>
        </w:drawing>
      </w:r>
    </w:p>
    <w:p w14:paraId="056EC561" w14:textId="121EAF62" w:rsidR="00735B9A" w:rsidRPr="002252B4" w:rsidRDefault="00735B9A" w:rsidP="002252B4">
      <w:pPr>
        <w:shd w:val="clear" w:color="auto" w:fill="FFFFFF"/>
        <w:spacing w:line="360" w:lineRule="auto"/>
        <w:jc w:val="both"/>
        <w:textAlignment w:val="baseline"/>
        <w:rPr>
          <w:rFonts w:ascii="Calibri" w:eastAsia="Times New Roman" w:hAnsi="Calibri" w:cs="Calibri"/>
          <w:shd w:val="clear" w:color="auto" w:fill="FFFFFF"/>
          <w:lang w:eastAsia="en-GB"/>
        </w:rPr>
      </w:pPr>
      <w:r w:rsidRPr="002252B4">
        <w:rPr>
          <w:rFonts w:ascii="Calibri" w:eastAsia="Times New Roman" w:hAnsi="Calibri" w:cs="Calibri"/>
          <w:b/>
          <w:bCs/>
          <w:shd w:val="clear" w:color="auto" w:fill="FFFFFF"/>
          <w:lang w:eastAsia="en-GB"/>
        </w:rPr>
        <w:t>Figure 1</w:t>
      </w:r>
      <w:r w:rsidRPr="002252B4">
        <w:rPr>
          <w:rFonts w:ascii="Calibri" w:eastAsia="Times New Roman" w:hAnsi="Calibri" w:cs="Calibri"/>
          <w:shd w:val="clear" w:color="auto" w:fill="FFFFFF"/>
          <w:lang w:eastAsia="en-GB"/>
        </w:rPr>
        <w:t xml:space="preserve">. A </w:t>
      </w:r>
      <w:r w:rsidRPr="002252B4">
        <w:rPr>
          <w:rFonts w:ascii="Calibri" w:eastAsia="Times New Roman" w:hAnsi="Calibri" w:cs="Calibri"/>
          <w:bdr w:val="none" w:sz="0" w:space="0" w:color="auto" w:frame="1"/>
          <w:lang w:eastAsia="en-GB"/>
        </w:rPr>
        <w:t>flowchart</w:t>
      </w:r>
      <w:r w:rsidRPr="00AC4EFF">
        <w:rPr>
          <w:rFonts w:ascii="Calibri" w:eastAsia="Times New Roman" w:hAnsi="Calibri" w:cs="Calibri"/>
          <w:shd w:val="clear" w:color="auto" w:fill="FFFFFF"/>
          <w:lang w:eastAsia="en-GB"/>
        </w:rPr>
        <w:t xml:space="preserve"> of the</w:t>
      </w:r>
      <w:r w:rsidRPr="002252B4">
        <w:rPr>
          <w:rFonts w:ascii="Calibri" w:eastAsia="Times New Roman" w:hAnsi="Calibri" w:cs="Calibri"/>
          <w:shd w:val="clear" w:color="auto" w:fill="FFFFFF"/>
          <w:lang w:eastAsia="en-GB"/>
        </w:rPr>
        <w:t xml:space="preserve"> key</w:t>
      </w:r>
      <w:r w:rsidRPr="00AC4EFF">
        <w:rPr>
          <w:rFonts w:ascii="Calibri" w:eastAsia="Times New Roman" w:hAnsi="Calibri" w:cs="Calibri"/>
          <w:shd w:val="clear" w:color="auto" w:fill="FFFFFF"/>
          <w:lang w:eastAsia="en-GB"/>
        </w:rPr>
        <w:t xml:space="preserve"> steps</w:t>
      </w:r>
      <w:r w:rsidRPr="002252B4">
        <w:rPr>
          <w:rFonts w:ascii="Calibri" w:eastAsia="Times New Roman" w:hAnsi="Calibri" w:cs="Calibri"/>
          <w:shd w:val="clear" w:color="auto" w:fill="FFFFFF"/>
          <w:lang w:eastAsia="en-GB"/>
        </w:rPr>
        <w:t xml:space="preserve"> leading to cryptographic failures</w:t>
      </w:r>
      <w:r w:rsidR="00AC695B" w:rsidRPr="002252B4">
        <w:rPr>
          <w:rFonts w:ascii="Calibri" w:eastAsia="Times New Roman" w:hAnsi="Calibri" w:cs="Calibri"/>
          <w:shd w:val="clear" w:color="auto" w:fill="FFFFFF"/>
          <w:lang w:eastAsia="en-GB"/>
        </w:rPr>
        <w:t>, created via the tool Sequencediagram.org</w:t>
      </w:r>
      <w:r w:rsidR="009D113D" w:rsidRPr="002252B4">
        <w:rPr>
          <w:rFonts w:ascii="Calibri" w:eastAsia="Times New Roman" w:hAnsi="Calibri" w:cs="Calibri"/>
          <w:shd w:val="clear" w:color="auto" w:fill="FFFFFF"/>
          <w:lang w:eastAsia="en-GB"/>
        </w:rPr>
        <w:t xml:space="preserve"> (Sequence Diagram tool, 2022)</w:t>
      </w:r>
      <w:r w:rsidRPr="002252B4">
        <w:rPr>
          <w:rFonts w:ascii="Calibri" w:eastAsia="Times New Roman" w:hAnsi="Calibri" w:cs="Calibri"/>
          <w:shd w:val="clear" w:color="auto" w:fill="FFFFFF"/>
          <w:lang w:eastAsia="en-GB"/>
        </w:rPr>
        <w:t>.</w:t>
      </w:r>
    </w:p>
    <w:p w14:paraId="4C84E476" w14:textId="556775E1" w:rsidR="00F63F1F" w:rsidRPr="002252B4" w:rsidRDefault="00F63F1F" w:rsidP="002252B4">
      <w:pPr>
        <w:shd w:val="clear" w:color="auto" w:fill="FFFFFF"/>
        <w:spacing w:line="360" w:lineRule="auto"/>
        <w:jc w:val="both"/>
        <w:textAlignment w:val="baseline"/>
        <w:rPr>
          <w:rFonts w:ascii="Calibri" w:eastAsia="Times New Roman" w:hAnsi="Calibri" w:cs="Calibri"/>
          <w:bdr w:val="none" w:sz="0" w:space="0" w:color="auto" w:frame="1"/>
          <w:lang w:eastAsia="en-GB"/>
        </w:rPr>
      </w:pPr>
      <w:r w:rsidRPr="002252B4">
        <w:rPr>
          <w:rFonts w:ascii="Calibri" w:eastAsia="Times New Roman" w:hAnsi="Calibri" w:cs="Calibri"/>
          <w:bdr w:val="none" w:sz="0" w:space="0" w:color="auto" w:frame="1"/>
          <w:lang w:eastAsia="en-GB"/>
        </w:rPr>
        <w:lastRenderedPageBreak/>
        <w:t>Such cryptographic failures can be prevented by leveraging the following methods (OWASP, 2017, 2021):</w:t>
      </w:r>
    </w:p>
    <w:p w14:paraId="12037390" w14:textId="0E5743EF" w:rsidR="00F63F1F" w:rsidRPr="002252B4" w:rsidRDefault="00F63F1F" w:rsidP="002252B4">
      <w:pPr>
        <w:pStyle w:val="ListParagraph"/>
        <w:numPr>
          <w:ilvl w:val="0"/>
          <w:numId w:val="3"/>
        </w:numPr>
        <w:shd w:val="clear" w:color="auto" w:fill="FFFFFF"/>
        <w:spacing w:line="360" w:lineRule="auto"/>
        <w:jc w:val="both"/>
        <w:textAlignment w:val="baseline"/>
        <w:rPr>
          <w:rFonts w:ascii="Calibri" w:eastAsia="Times New Roman" w:hAnsi="Calibri" w:cs="Calibri"/>
          <w:bdr w:val="none" w:sz="0" w:space="0" w:color="auto" w:frame="1"/>
          <w:lang w:eastAsia="en-GB"/>
        </w:rPr>
      </w:pPr>
      <w:r w:rsidRPr="002252B4">
        <w:rPr>
          <w:rFonts w:ascii="Calibri" w:eastAsia="Times New Roman" w:hAnsi="Calibri" w:cs="Calibri"/>
          <w:bdr w:val="none" w:sz="0" w:space="0" w:color="auto" w:frame="1"/>
          <w:lang w:eastAsia="en-GB"/>
        </w:rPr>
        <w:t>Robust and adaptive hashing algorithms with a delay factor to store credentials, such as Argon2 and PBKDF2.</w:t>
      </w:r>
    </w:p>
    <w:p w14:paraId="020EB135" w14:textId="77777777" w:rsidR="00F63F1F" w:rsidRPr="002252B4" w:rsidRDefault="00F63F1F" w:rsidP="002252B4">
      <w:pPr>
        <w:pStyle w:val="ListParagraph"/>
        <w:numPr>
          <w:ilvl w:val="0"/>
          <w:numId w:val="3"/>
        </w:numPr>
        <w:shd w:val="clear" w:color="auto" w:fill="FFFFFF"/>
        <w:spacing w:line="360" w:lineRule="auto"/>
        <w:jc w:val="both"/>
        <w:textAlignment w:val="baseline"/>
        <w:rPr>
          <w:rFonts w:ascii="Calibri" w:eastAsia="Times New Roman" w:hAnsi="Calibri" w:cs="Calibri"/>
          <w:bdr w:val="none" w:sz="0" w:space="0" w:color="auto" w:frame="1"/>
          <w:lang w:eastAsia="en-GB"/>
        </w:rPr>
      </w:pPr>
      <w:r w:rsidRPr="002252B4">
        <w:rPr>
          <w:rFonts w:ascii="Calibri" w:eastAsia="Times New Roman" w:hAnsi="Calibri" w:cs="Calibri"/>
          <w:bdr w:val="none" w:sz="0" w:space="0" w:color="auto" w:frame="1"/>
          <w:lang w:eastAsia="en-GB"/>
        </w:rPr>
        <w:t xml:space="preserve">Avoiding old protocols, e.g., file transfer protocol (FTP) and simple mail transfer protocol (SMTP), to transfer sensitive information. </w:t>
      </w:r>
    </w:p>
    <w:p w14:paraId="2A5BBBAF" w14:textId="77777777" w:rsidR="00F63F1F" w:rsidRPr="002252B4" w:rsidRDefault="00F63F1F" w:rsidP="002252B4">
      <w:pPr>
        <w:pStyle w:val="ListParagraph"/>
        <w:numPr>
          <w:ilvl w:val="0"/>
          <w:numId w:val="3"/>
        </w:numPr>
        <w:shd w:val="clear" w:color="auto" w:fill="FFFFFF"/>
        <w:spacing w:line="360" w:lineRule="auto"/>
        <w:jc w:val="both"/>
        <w:textAlignment w:val="baseline"/>
        <w:rPr>
          <w:rFonts w:ascii="Calibri" w:eastAsia="Times New Roman" w:hAnsi="Calibri" w:cs="Calibri"/>
          <w:bdr w:val="none" w:sz="0" w:space="0" w:color="auto" w:frame="1"/>
          <w:lang w:eastAsia="en-GB"/>
        </w:rPr>
      </w:pPr>
      <w:r w:rsidRPr="002252B4">
        <w:rPr>
          <w:rFonts w:ascii="Calibri" w:eastAsia="Times New Roman" w:hAnsi="Calibri" w:cs="Calibri"/>
          <w:bdr w:val="none" w:sz="0" w:space="0" w:color="auto" w:frame="1"/>
          <w:lang w:eastAsia="en-GB"/>
        </w:rPr>
        <w:t>Rather than solely using encryption, authenticated encryption should be in place.</w:t>
      </w:r>
    </w:p>
    <w:p w14:paraId="455DAC5E" w14:textId="7D221C3D" w:rsidR="00F63F1F" w:rsidRPr="002252B4" w:rsidRDefault="00F63F1F" w:rsidP="002252B4">
      <w:pPr>
        <w:pStyle w:val="ListParagraph"/>
        <w:numPr>
          <w:ilvl w:val="0"/>
          <w:numId w:val="3"/>
        </w:numPr>
        <w:shd w:val="clear" w:color="auto" w:fill="FFFFFF"/>
        <w:spacing w:line="360" w:lineRule="auto"/>
        <w:jc w:val="both"/>
        <w:textAlignment w:val="baseline"/>
        <w:rPr>
          <w:rFonts w:ascii="Calibri" w:eastAsia="Times New Roman" w:hAnsi="Calibri" w:cs="Calibri"/>
          <w:bdr w:val="none" w:sz="0" w:space="0" w:color="auto" w:frame="1"/>
          <w:lang w:eastAsia="en-GB"/>
        </w:rPr>
      </w:pPr>
      <w:r w:rsidRPr="002252B4">
        <w:rPr>
          <w:rFonts w:ascii="Calibri" w:eastAsia="Times New Roman" w:hAnsi="Calibri" w:cs="Calibri"/>
          <w:bdr w:val="none" w:sz="0" w:space="0" w:color="auto" w:frame="1"/>
          <w:lang w:eastAsia="en-GB"/>
        </w:rPr>
        <w:t>Random keys should be generated for masking credentials, such as passwords, and stored as byte arrays.</w:t>
      </w:r>
    </w:p>
    <w:p w14:paraId="082523F5" w14:textId="5FAB7ABE" w:rsidR="00916284" w:rsidRPr="002252B4" w:rsidRDefault="00916284" w:rsidP="002252B4">
      <w:pPr>
        <w:spacing w:line="360" w:lineRule="auto"/>
        <w:jc w:val="both"/>
        <w:rPr>
          <w:rFonts w:ascii="Calibri" w:hAnsi="Calibri" w:cs="Calibri"/>
        </w:rPr>
      </w:pPr>
    </w:p>
    <w:p w14:paraId="5BAB8B60" w14:textId="5F0EC621" w:rsidR="008F7992" w:rsidRPr="002252B4" w:rsidRDefault="008F7992" w:rsidP="002252B4">
      <w:pPr>
        <w:spacing w:line="360" w:lineRule="auto"/>
        <w:jc w:val="both"/>
        <w:rPr>
          <w:rFonts w:ascii="Calibri" w:hAnsi="Calibri" w:cs="Calibri"/>
        </w:rPr>
      </w:pPr>
    </w:p>
    <w:p w14:paraId="54D3BB2D" w14:textId="723E62B3" w:rsidR="008F7992" w:rsidRPr="002252B4" w:rsidRDefault="008F7992" w:rsidP="002252B4">
      <w:pPr>
        <w:spacing w:line="360" w:lineRule="auto"/>
        <w:jc w:val="both"/>
        <w:rPr>
          <w:rFonts w:ascii="Calibri" w:hAnsi="Calibri" w:cs="Calibri"/>
          <w:b/>
          <w:bCs/>
        </w:rPr>
      </w:pPr>
      <w:r w:rsidRPr="002252B4">
        <w:rPr>
          <w:rFonts w:ascii="Calibri" w:hAnsi="Calibri" w:cs="Calibri"/>
          <w:b/>
          <w:bCs/>
        </w:rPr>
        <w:t>References</w:t>
      </w:r>
    </w:p>
    <w:p w14:paraId="5E5D637D" w14:textId="3FBE92FE" w:rsidR="008F7992" w:rsidRPr="002252B4" w:rsidRDefault="008F7992" w:rsidP="002252B4">
      <w:pPr>
        <w:spacing w:line="360" w:lineRule="auto"/>
        <w:jc w:val="both"/>
        <w:rPr>
          <w:rFonts w:ascii="Calibri" w:hAnsi="Calibri" w:cs="Calibri"/>
        </w:rPr>
      </w:pPr>
    </w:p>
    <w:p w14:paraId="0374B2B7" w14:textId="685A3AEC" w:rsidR="008F7992" w:rsidRPr="002252B4" w:rsidRDefault="008F7992" w:rsidP="002252B4">
      <w:pPr>
        <w:spacing w:line="360" w:lineRule="auto"/>
        <w:jc w:val="both"/>
        <w:rPr>
          <w:rFonts w:ascii="Calibri" w:eastAsia="Times New Roman" w:hAnsi="Calibri" w:cs="Calibri"/>
          <w:shd w:val="clear" w:color="auto" w:fill="FFFFFF"/>
          <w:lang w:eastAsia="en-GB"/>
        </w:rPr>
      </w:pPr>
      <w:r w:rsidRPr="008F7992">
        <w:rPr>
          <w:rFonts w:ascii="Calibri" w:eastAsia="Times New Roman" w:hAnsi="Calibri" w:cs="Calibri"/>
          <w:shd w:val="clear" w:color="auto" w:fill="FFFFFF"/>
          <w:lang w:eastAsia="en-GB"/>
        </w:rPr>
        <w:t>Mitre (2017) Weaknesses in OWASP Top Ten.</w:t>
      </w:r>
    </w:p>
    <w:p w14:paraId="689351BD" w14:textId="76B3AFFA" w:rsidR="003C1D96" w:rsidRPr="002252B4" w:rsidRDefault="003C1D96" w:rsidP="002252B4">
      <w:pPr>
        <w:spacing w:line="360" w:lineRule="auto"/>
        <w:jc w:val="both"/>
        <w:rPr>
          <w:rFonts w:ascii="Calibri" w:eastAsia="Times New Roman" w:hAnsi="Calibri" w:cs="Calibri"/>
          <w:shd w:val="clear" w:color="auto" w:fill="FFFFFF"/>
          <w:lang w:eastAsia="en-GB"/>
        </w:rPr>
      </w:pPr>
    </w:p>
    <w:p w14:paraId="0D19F949" w14:textId="23F5E004" w:rsidR="008F7992" w:rsidRPr="002252B4" w:rsidRDefault="003C1D96" w:rsidP="002252B4">
      <w:pPr>
        <w:spacing w:line="360" w:lineRule="auto"/>
        <w:jc w:val="both"/>
        <w:rPr>
          <w:rFonts w:ascii="Calibri" w:eastAsia="Times New Roman" w:hAnsi="Calibri" w:cs="Calibri"/>
          <w:shd w:val="clear" w:color="auto" w:fill="FFFFFF"/>
          <w:lang w:eastAsia="en-GB"/>
        </w:rPr>
      </w:pPr>
      <w:r w:rsidRPr="002252B4">
        <w:rPr>
          <w:rFonts w:ascii="Calibri" w:eastAsia="Times New Roman" w:hAnsi="Calibri" w:cs="Calibri"/>
          <w:shd w:val="clear" w:color="auto" w:fill="FFFFFF"/>
          <w:lang w:eastAsia="en-GB"/>
        </w:rPr>
        <w:t xml:space="preserve">OWASP (2017) A3 Sensitive Data Exposure. Retrieved from </w:t>
      </w:r>
      <w:hyperlink r:id="rId9" w:history="1">
        <w:r w:rsidR="00F63F1F" w:rsidRPr="002252B4">
          <w:rPr>
            <w:rStyle w:val="Hyperlink"/>
            <w:rFonts w:ascii="Calibri" w:eastAsia="Times New Roman" w:hAnsi="Calibri" w:cs="Calibri"/>
            <w:color w:val="auto"/>
            <w:shd w:val="clear" w:color="auto" w:fill="FFFFFF"/>
            <w:lang w:eastAsia="en-GB"/>
          </w:rPr>
          <w:t>https://cwe.mitre.org/data/definitions/1029.html</w:t>
        </w:r>
      </w:hyperlink>
      <w:r w:rsidRPr="002252B4">
        <w:rPr>
          <w:rFonts w:ascii="Calibri" w:eastAsia="Times New Roman" w:hAnsi="Calibri" w:cs="Calibri"/>
          <w:shd w:val="clear" w:color="auto" w:fill="FFFFFF"/>
          <w:lang w:eastAsia="en-GB"/>
        </w:rPr>
        <w:t>.</w:t>
      </w:r>
    </w:p>
    <w:p w14:paraId="7E1FE409" w14:textId="77777777" w:rsidR="00F63F1F" w:rsidRPr="002252B4" w:rsidRDefault="00F63F1F" w:rsidP="002252B4">
      <w:pPr>
        <w:spacing w:line="360" w:lineRule="auto"/>
        <w:jc w:val="both"/>
        <w:rPr>
          <w:rFonts w:ascii="Calibri" w:eastAsia="Times New Roman" w:hAnsi="Calibri" w:cs="Calibri"/>
          <w:lang w:eastAsia="en-GB"/>
        </w:rPr>
      </w:pPr>
    </w:p>
    <w:p w14:paraId="1C0EEF28" w14:textId="2A0B79D3" w:rsidR="008F7992" w:rsidRPr="002252B4" w:rsidRDefault="0069782E" w:rsidP="002252B4">
      <w:pPr>
        <w:spacing w:line="360" w:lineRule="auto"/>
        <w:jc w:val="both"/>
        <w:rPr>
          <w:rFonts w:ascii="Calibri" w:eastAsia="Times New Roman" w:hAnsi="Calibri" w:cs="Calibri"/>
          <w:shd w:val="clear" w:color="auto" w:fill="FFFFFF"/>
          <w:lang w:eastAsia="en-GB"/>
        </w:rPr>
      </w:pPr>
      <w:r w:rsidRPr="002252B4">
        <w:rPr>
          <w:rFonts w:ascii="Calibri" w:eastAsia="Times New Roman" w:hAnsi="Calibri" w:cs="Calibri"/>
          <w:shd w:val="clear" w:color="auto" w:fill="FFFFFF"/>
          <w:lang w:eastAsia="en-GB"/>
        </w:rPr>
        <w:t>OWASP</w:t>
      </w:r>
      <w:r w:rsidRPr="0069782E">
        <w:rPr>
          <w:rFonts w:ascii="Calibri" w:eastAsia="Times New Roman" w:hAnsi="Calibri" w:cs="Calibri"/>
          <w:shd w:val="clear" w:color="auto" w:fill="FFFFFF"/>
          <w:lang w:eastAsia="en-GB"/>
        </w:rPr>
        <w:t xml:space="preserve"> (20</w:t>
      </w:r>
      <w:r w:rsidR="00AC4EFF" w:rsidRPr="002252B4">
        <w:rPr>
          <w:rFonts w:ascii="Calibri" w:eastAsia="Times New Roman" w:hAnsi="Calibri" w:cs="Calibri"/>
          <w:shd w:val="clear" w:color="auto" w:fill="FFFFFF"/>
          <w:lang w:eastAsia="en-GB"/>
        </w:rPr>
        <w:t>21</w:t>
      </w:r>
      <w:r w:rsidRPr="0069782E">
        <w:rPr>
          <w:rFonts w:ascii="Calibri" w:eastAsia="Times New Roman" w:hAnsi="Calibri" w:cs="Calibri"/>
          <w:shd w:val="clear" w:color="auto" w:fill="FFFFFF"/>
          <w:lang w:eastAsia="en-GB"/>
        </w:rPr>
        <w:t>) A0</w:t>
      </w:r>
      <w:r w:rsidR="00AC4EFF" w:rsidRPr="002252B4">
        <w:rPr>
          <w:rFonts w:ascii="Calibri" w:eastAsia="Times New Roman" w:hAnsi="Calibri" w:cs="Calibri"/>
          <w:shd w:val="clear" w:color="auto" w:fill="FFFFFF"/>
          <w:lang w:eastAsia="en-GB"/>
        </w:rPr>
        <w:t>2</w:t>
      </w:r>
      <w:r w:rsidRPr="0069782E">
        <w:rPr>
          <w:rFonts w:ascii="Calibri" w:eastAsia="Times New Roman" w:hAnsi="Calibri" w:cs="Calibri"/>
          <w:shd w:val="clear" w:color="auto" w:fill="FFFFFF"/>
          <w:lang w:eastAsia="en-GB"/>
        </w:rPr>
        <w:t xml:space="preserve"> </w:t>
      </w:r>
      <w:r w:rsidR="00AC4EFF" w:rsidRPr="002252B4">
        <w:rPr>
          <w:rFonts w:ascii="Calibri" w:eastAsia="Times New Roman" w:hAnsi="Calibri" w:cs="Calibri"/>
          <w:shd w:val="clear" w:color="auto" w:fill="FFFFFF"/>
          <w:lang w:eastAsia="en-GB"/>
        </w:rPr>
        <w:t>Cryptographic failures</w:t>
      </w:r>
      <w:r w:rsidR="003C1D96" w:rsidRPr="002252B4">
        <w:rPr>
          <w:rFonts w:ascii="Calibri" w:eastAsia="Times New Roman" w:hAnsi="Calibri" w:cs="Calibri"/>
          <w:shd w:val="clear" w:color="auto" w:fill="FFFFFF"/>
          <w:lang w:eastAsia="en-GB"/>
        </w:rPr>
        <w:t>. Re</w:t>
      </w:r>
      <w:r w:rsidRPr="002252B4">
        <w:rPr>
          <w:rFonts w:ascii="Calibri" w:eastAsia="Times New Roman" w:hAnsi="Calibri" w:cs="Calibri"/>
          <w:shd w:val="clear" w:color="auto" w:fill="FFFFFF"/>
          <w:lang w:eastAsia="en-GB"/>
        </w:rPr>
        <w:t xml:space="preserve">trieved from </w:t>
      </w:r>
      <w:hyperlink r:id="rId10" w:history="1">
        <w:r w:rsidR="005E1B32" w:rsidRPr="002252B4">
          <w:rPr>
            <w:rStyle w:val="Hyperlink"/>
            <w:rFonts w:ascii="Calibri" w:eastAsia="Times New Roman" w:hAnsi="Calibri" w:cs="Calibri"/>
            <w:color w:val="auto"/>
            <w:shd w:val="clear" w:color="auto" w:fill="FFFFFF"/>
            <w:lang w:eastAsia="en-GB"/>
          </w:rPr>
          <w:t>https://owasp.org/Top10/A02_2021-Cryptographic_Failures/</w:t>
        </w:r>
      </w:hyperlink>
      <w:r w:rsidR="00AC4EFF" w:rsidRPr="002252B4">
        <w:rPr>
          <w:rFonts w:ascii="Calibri" w:eastAsia="Times New Roman" w:hAnsi="Calibri" w:cs="Calibri"/>
          <w:shd w:val="clear" w:color="auto" w:fill="FFFFFF"/>
          <w:lang w:eastAsia="en-GB"/>
        </w:rPr>
        <w:t>.</w:t>
      </w:r>
    </w:p>
    <w:p w14:paraId="5676EC0E" w14:textId="4471764F" w:rsidR="005E1B32" w:rsidRPr="008B09BE" w:rsidRDefault="005E1B32" w:rsidP="008B09BE">
      <w:pPr>
        <w:shd w:val="clear" w:color="auto" w:fill="FFFFFF"/>
        <w:spacing w:before="100" w:beforeAutospacing="1" w:after="100" w:afterAutospacing="1"/>
        <w:jc w:val="both"/>
        <w:rPr>
          <w:rFonts w:ascii="Calibri" w:eastAsia="Times New Roman" w:hAnsi="Calibri" w:cs="Calibri"/>
          <w:lang w:eastAsia="en-GB"/>
        </w:rPr>
      </w:pPr>
      <w:hyperlink r:id="rId11" w:tgtFrame="_blank" w:history="1">
        <w:r w:rsidRPr="005E1B32">
          <w:rPr>
            <w:rFonts w:ascii="Calibri" w:eastAsia="Times New Roman" w:hAnsi="Calibri" w:cs="Calibri"/>
            <w:u w:val="single"/>
            <w:lang w:eastAsia="en-GB"/>
          </w:rPr>
          <w:t>Sequence Diagram</w:t>
        </w:r>
      </w:hyperlink>
      <w:r w:rsidRPr="002252B4">
        <w:rPr>
          <w:rFonts w:ascii="Calibri" w:eastAsia="Times New Roman" w:hAnsi="Calibri" w:cs="Calibri"/>
          <w:lang w:eastAsia="en-GB"/>
        </w:rPr>
        <w:t xml:space="preserve"> tool (2022) Retrieved from sequencediagram.org.</w:t>
      </w:r>
    </w:p>
    <w:sectPr w:rsidR="005E1B32" w:rsidRPr="008B09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167"/>
    <w:multiLevelType w:val="hybridMultilevel"/>
    <w:tmpl w:val="D9E0E264"/>
    <w:lvl w:ilvl="0" w:tplc="5BD8E10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6714"/>
    <w:multiLevelType w:val="multilevel"/>
    <w:tmpl w:val="5074C66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DE2752"/>
    <w:multiLevelType w:val="multilevel"/>
    <w:tmpl w:val="3FC4A16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393549"/>
    <w:multiLevelType w:val="multilevel"/>
    <w:tmpl w:val="CA2451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57959167">
    <w:abstractNumId w:val="1"/>
    <w:lvlOverride w:ilvl="0">
      <w:lvl w:ilvl="0">
        <w:numFmt w:val="bullet"/>
        <w:lvlText w:val=""/>
        <w:lvlJc w:val="left"/>
        <w:pPr>
          <w:tabs>
            <w:tab w:val="num" w:pos="720"/>
          </w:tabs>
          <w:ind w:left="720" w:hanging="360"/>
        </w:pPr>
        <w:rPr>
          <w:rFonts w:ascii="Symbol" w:hAnsi="Symbol" w:hint="default"/>
          <w:sz w:val="20"/>
        </w:rPr>
      </w:lvl>
    </w:lvlOverride>
  </w:num>
  <w:num w:numId="2" w16cid:durableId="2075658004">
    <w:abstractNumId w:val="2"/>
    <w:lvlOverride w:ilvl="0">
      <w:lvl w:ilvl="0">
        <w:numFmt w:val="bullet"/>
        <w:lvlText w:val=""/>
        <w:lvlJc w:val="left"/>
        <w:pPr>
          <w:tabs>
            <w:tab w:val="num" w:pos="720"/>
          </w:tabs>
          <w:ind w:left="720" w:hanging="360"/>
        </w:pPr>
        <w:rPr>
          <w:rFonts w:ascii="Symbol" w:hAnsi="Symbol" w:hint="default"/>
          <w:sz w:val="20"/>
        </w:rPr>
      </w:lvl>
    </w:lvlOverride>
  </w:num>
  <w:num w:numId="3" w16cid:durableId="1692803204">
    <w:abstractNumId w:val="0"/>
  </w:num>
  <w:num w:numId="4" w16cid:durableId="883492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7FA"/>
    <w:rsid w:val="002252B4"/>
    <w:rsid w:val="002E47FA"/>
    <w:rsid w:val="003C1D96"/>
    <w:rsid w:val="005E1B32"/>
    <w:rsid w:val="0069782E"/>
    <w:rsid w:val="00735B9A"/>
    <w:rsid w:val="008B09BE"/>
    <w:rsid w:val="008F7992"/>
    <w:rsid w:val="00916284"/>
    <w:rsid w:val="009D113D"/>
    <w:rsid w:val="00AC4EFF"/>
    <w:rsid w:val="00AC695B"/>
    <w:rsid w:val="00B26367"/>
    <w:rsid w:val="00F07406"/>
    <w:rsid w:val="00F63F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EAE9EC7"/>
  <w15:chartTrackingRefBased/>
  <w15:docId w15:val="{B9C3A612-4C84-274C-A82C-E3A173A9F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9782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782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69782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69782E"/>
    <w:rPr>
      <w:color w:val="0000FF"/>
      <w:u w:val="single"/>
    </w:rPr>
  </w:style>
  <w:style w:type="paragraph" w:styleId="ListParagraph">
    <w:name w:val="List Paragraph"/>
    <w:basedOn w:val="Normal"/>
    <w:uiPriority w:val="34"/>
    <w:qFormat/>
    <w:rsid w:val="00F63F1F"/>
    <w:pPr>
      <w:ind w:left="720"/>
      <w:contextualSpacing/>
    </w:pPr>
  </w:style>
  <w:style w:type="character" w:styleId="UnresolvedMention">
    <w:name w:val="Unresolved Mention"/>
    <w:basedOn w:val="DefaultParagraphFont"/>
    <w:uiPriority w:val="99"/>
    <w:semiHidden/>
    <w:unhideWhenUsed/>
    <w:rsid w:val="00F63F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32062">
      <w:bodyDiv w:val="1"/>
      <w:marLeft w:val="0"/>
      <w:marRight w:val="0"/>
      <w:marTop w:val="0"/>
      <w:marBottom w:val="0"/>
      <w:divBdr>
        <w:top w:val="none" w:sz="0" w:space="0" w:color="auto"/>
        <w:left w:val="none" w:sz="0" w:space="0" w:color="auto"/>
        <w:bottom w:val="none" w:sz="0" w:space="0" w:color="auto"/>
        <w:right w:val="none" w:sz="0" w:space="0" w:color="auto"/>
      </w:divBdr>
    </w:div>
    <w:div w:id="124927710">
      <w:bodyDiv w:val="1"/>
      <w:marLeft w:val="0"/>
      <w:marRight w:val="0"/>
      <w:marTop w:val="0"/>
      <w:marBottom w:val="0"/>
      <w:divBdr>
        <w:top w:val="none" w:sz="0" w:space="0" w:color="auto"/>
        <w:left w:val="none" w:sz="0" w:space="0" w:color="auto"/>
        <w:bottom w:val="none" w:sz="0" w:space="0" w:color="auto"/>
        <w:right w:val="none" w:sz="0" w:space="0" w:color="auto"/>
      </w:divBdr>
    </w:div>
    <w:div w:id="625433133">
      <w:bodyDiv w:val="1"/>
      <w:marLeft w:val="0"/>
      <w:marRight w:val="0"/>
      <w:marTop w:val="0"/>
      <w:marBottom w:val="0"/>
      <w:divBdr>
        <w:top w:val="none" w:sz="0" w:space="0" w:color="auto"/>
        <w:left w:val="none" w:sz="0" w:space="0" w:color="auto"/>
        <w:bottom w:val="none" w:sz="0" w:space="0" w:color="auto"/>
        <w:right w:val="none" w:sz="0" w:space="0" w:color="auto"/>
      </w:divBdr>
    </w:div>
    <w:div w:id="692650047">
      <w:bodyDiv w:val="1"/>
      <w:marLeft w:val="0"/>
      <w:marRight w:val="0"/>
      <w:marTop w:val="0"/>
      <w:marBottom w:val="0"/>
      <w:divBdr>
        <w:top w:val="none" w:sz="0" w:space="0" w:color="auto"/>
        <w:left w:val="none" w:sz="0" w:space="0" w:color="auto"/>
        <w:bottom w:val="none" w:sz="0" w:space="0" w:color="auto"/>
        <w:right w:val="none" w:sz="0" w:space="0" w:color="auto"/>
      </w:divBdr>
    </w:div>
    <w:div w:id="975840953">
      <w:bodyDiv w:val="1"/>
      <w:marLeft w:val="0"/>
      <w:marRight w:val="0"/>
      <w:marTop w:val="0"/>
      <w:marBottom w:val="0"/>
      <w:divBdr>
        <w:top w:val="none" w:sz="0" w:space="0" w:color="auto"/>
        <w:left w:val="none" w:sz="0" w:space="0" w:color="auto"/>
        <w:bottom w:val="none" w:sz="0" w:space="0" w:color="auto"/>
        <w:right w:val="none" w:sz="0" w:space="0" w:color="auto"/>
      </w:divBdr>
    </w:div>
    <w:div w:id="1274826357">
      <w:bodyDiv w:val="1"/>
      <w:marLeft w:val="0"/>
      <w:marRight w:val="0"/>
      <w:marTop w:val="0"/>
      <w:marBottom w:val="0"/>
      <w:divBdr>
        <w:top w:val="none" w:sz="0" w:space="0" w:color="auto"/>
        <w:left w:val="none" w:sz="0" w:space="0" w:color="auto"/>
        <w:bottom w:val="none" w:sz="0" w:space="0" w:color="auto"/>
        <w:right w:val="none" w:sz="0" w:space="0" w:color="auto"/>
      </w:divBdr>
    </w:div>
    <w:div w:id="150871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equencediagram.org/%20%20" TargetMode="External"/><Relationship Id="rId5" Type="http://schemas.openxmlformats.org/officeDocument/2006/relationships/image" Target="media/image1.png"/><Relationship Id="rId10" Type="http://schemas.openxmlformats.org/officeDocument/2006/relationships/hyperlink" Target="https://owasp.org/Top10/A02_2021-Cryptographic_Failures/" TargetMode="External"/><Relationship Id="rId4" Type="http://schemas.openxmlformats.org/officeDocument/2006/relationships/webSettings" Target="webSettings.xml"/><Relationship Id="rId9" Type="http://schemas.openxmlformats.org/officeDocument/2006/relationships/hyperlink" Target="https://cwe.mitre.org/data/definitions/102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Manaog, Marianne L</dc:creator>
  <cp:keywords/>
  <dc:description/>
  <cp:lastModifiedBy>Manaog, Marianne L</cp:lastModifiedBy>
  <cp:revision>8</cp:revision>
  <dcterms:created xsi:type="dcterms:W3CDTF">2022-06-19T08:44:00Z</dcterms:created>
  <dcterms:modified xsi:type="dcterms:W3CDTF">2022-06-20T07:09:00Z</dcterms:modified>
</cp:coreProperties>
</file>