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3CA1" w14:textId="1C4B557B" w:rsidR="00020FF8" w:rsidRPr="00020FF8" w:rsidRDefault="00020FF8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020FF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Summary Post – Unit 3</w:t>
      </w:r>
    </w:p>
    <w:p w14:paraId="016BC0ED" w14:textId="77777777" w:rsidR="00020FF8" w:rsidRDefault="00020FF8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57D9737B" w14:textId="31416598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lang w:eastAsia="en-GB"/>
        </w:rPr>
        <w:t xml:space="preserve">Web applications and application programming interfaces (APIs) may not be properly configured to protect sensitive data, including personal identifiable information (PII) (OWASP, 2017, 2021). Thus, cyber-attacks may retrieve such information and use it to commit fraud or identity theft. Such sensitive data </w:t>
      </w:r>
      <w:r w:rsidR="0091045E">
        <w:rPr>
          <w:rFonts w:ascii="Calibri" w:eastAsia="Times New Roman" w:hAnsi="Calibri" w:cs="Calibri"/>
          <w:color w:val="000000"/>
          <w:lang w:eastAsia="en-GB"/>
        </w:rPr>
        <w:t>could be</w:t>
      </w:r>
      <w:r w:rsidRPr="00E66A50">
        <w:rPr>
          <w:rFonts w:ascii="Calibri" w:eastAsia="Times New Roman" w:hAnsi="Calibri" w:cs="Calibri"/>
          <w:color w:val="000000"/>
          <w:lang w:eastAsia="en-GB"/>
        </w:rPr>
        <w:t xml:space="preserve"> accessed by these unauthorised parties when</w:t>
      </w:r>
      <w:r w:rsidR="0091045E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E66A50">
        <w:rPr>
          <w:rFonts w:ascii="Calibri" w:eastAsia="Times New Roman" w:hAnsi="Calibri" w:cs="Calibri"/>
          <w:color w:val="000000"/>
          <w:lang w:eastAsia="en-GB"/>
        </w:rPr>
        <w:t>encryption at rest or in transit</w:t>
      </w:r>
      <w:r w:rsidR="001E11D9">
        <w:rPr>
          <w:rFonts w:ascii="Calibri" w:eastAsia="Times New Roman" w:hAnsi="Calibri" w:cs="Calibri"/>
          <w:color w:val="000000"/>
          <w:lang w:eastAsia="en-GB"/>
        </w:rPr>
        <w:t>,</w:t>
      </w:r>
      <w:r w:rsidRPr="00E66A50">
        <w:rPr>
          <w:rFonts w:ascii="Calibri" w:eastAsia="Times New Roman" w:hAnsi="Calibri" w:cs="Calibri"/>
          <w:color w:val="000000"/>
          <w:lang w:eastAsia="en-GB"/>
        </w:rPr>
        <w:t xml:space="preserve"> or permissions</w:t>
      </w:r>
      <w:r w:rsidR="001E11D9">
        <w:rPr>
          <w:rFonts w:ascii="Calibri" w:eastAsia="Times New Roman" w:hAnsi="Calibri" w:cs="Calibri"/>
          <w:color w:val="000000"/>
          <w:lang w:eastAsia="en-GB"/>
        </w:rPr>
        <w:t>,</w:t>
      </w:r>
      <w:r w:rsidRPr="00E66A50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1E11D9">
        <w:rPr>
          <w:rFonts w:ascii="Calibri" w:eastAsia="Times New Roman" w:hAnsi="Calibri" w:cs="Calibri"/>
          <w:color w:val="000000"/>
          <w:lang w:eastAsia="en-GB"/>
        </w:rPr>
        <w:t>are</w:t>
      </w:r>
      <w:r w:rsidR="0091045E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E66A50">
        <w:rPr>
          <w:rFonts w:ascii="Calibri" w:eastAsia="Times New Roman" w:hAnsi="Calibri" w:cs="Calibri"/>
          <w:color w:val="000000"/>
          <w:lang w:eastAsia="en-GB"/>
        </w:rPr>
        <w:t>not appropriately set (OWASP, 2017, 2021).</w:t>
      </w:r>
    </w:p>
    <w:p w14:paraId="4C300BC7" w14:textId="77777777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6A409FD1" w14:textId="5AC6A837" w:rsidR="00E66A50" w:rsidRPr="00E66A50" w:rsidRDefault="0091045E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E66A50" w:rsidRPr="00E66A50">
        <w:rPr>
          <w:rFonts w:ascii="Calibri" w:eastAsia="Times New Roman" w:hAnsi="Calibri" w:cs="Calibri"/>
          <w:color w:val="000000"/>
          <w:lang w:eastAsia="en-GB"/>
        </w:rPr>
        <w:t>hese cryptographic failures (OWASP, 2021)</w:t>
      </w:r>
      <w:r>
        <w:rPr>
          <w:rFonts w:ascii="Calibri" w:eastAsia="Times New Roman" w:hAnsi="Calibri" w:cs="Calibri"/>
          <w:color w:val="000000"/>
          <w:lang w:eastAsia="en-GB"/>
        </w:rPr>
        <w:t xml:space="preserve"> are ranked</w:t>
      </w:r>
      <w:r w:rsidR="00E66A50" w:rsidRPr="00E66A50">
        <w:rPr>
          <w:rFonts w:ascii="Calibri" w:eastAsia="Times New Roman" w:hAnsi="Calibri" w:cs="Calibri"/>
          <w:color w:val="000000"/>
          <w:lang w:eastAsia="en-GB"/>
        </w:rPr>
        <w:t xml:space="preserve"> second place (OWASP, 2021)</w:t>
      </w:r>
      <w:r>
        <w:rPr>
          <w:rFonts w:ascii="Calibri" w:eastAsia="Times New Roman" w:hAnsi="Calibri" w:cs="Calibri"/>
          <w:color w:val="000000"/>
          <w:lang w:eastAsia="en-GB"/>
        </w:rPr>
        <w:t>, beyond the third place achieved in 2017 (Mitre, 2017; OWASP, 2017).</w:t>
      </w:r>
      <w:r w:rsidR="00E66A50" w:rsidRPr="00E66A50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A</w:t>
      </w:r>
      <w:r w:rsidR="00E66A50" w:rsidRPr="00E66A50">
        <w:rPr>
          <w:rFonts w:ascii="Calibri" w:eastAsia="Times New Roman" w:hAnsi="Calibri" w:cs="Calibri"/>
          <w:color w:val="000000"/>
          <w:lang w:eastAsia="en-GB"/>
        </w:rPr>
        <w:t>uthentication tokens, credentials (usernames and passwords), and online transactions are at times compromised and exposed to unauthorised parties (OWASP, 2021).</w:t>
      </w:r>
    </w:p>
    <w:p w14:paraId="4C3FFC8D" w14:textId="4DB79EA2" w:rsidR="00E66A50" w:rsidRPr="00E66A50" w:rsidRDefault="001E11D9" w:rsidP="00020FF8">
      <w:pPr>
        <w:shd w:val="clear" w:color="auto" w:fill="FFFFFF"/>
        <w:spacing w:line="360" w:lineRule="atLeast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There</w:t>
      </w:r>
      <w:r w:rsidR="00E66A50"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may be SQL injection-related faults (OWASP, 2017, 2021) to retrieve 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sensitive </w:t>
      </w:r>
      <w:r w:rsidR="00E66A50"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details 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when in transit </w:t>
      </w:r>
      <w:r w:rsidR="00E66A50"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in clear text, which cyber-attackers may use for malicious purposes.</w:t>
      </w:r>
      <w:r w:rsid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Moreover, developer-related errors, such as not leveraging secure protocols, e.g., HTTPS, for logging in on web pages</w:t>
      </w:r>
      <w:r w:rsidR="0091045E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, using old encryption algorithms</w:t>
      </w:r>
      <w:r w:rsid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or </w:t>
      </w:r>
      <w:r w:rsidR="0091045E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storing passwords outside secret management tools, may also lead to cyber-attacks (Lazar </w:t>
      </w:r>
      <w:r w:rsidR="0091045E" w:rsidRPr="0091045E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  <w:lang w:eastAsia="en-GB"/>
        </w:rPr>
        <w:t>et al</w:t>
      </w:r>
      <w:r w:rsidR="0091045E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., 2014).</w:t>
      </w:r>
    </w:p>
    <w:p w14:paraId="717FC29C" w14:textId="77777777" w:rsidR="001E11D9" w:rsidRDefault="001E11D9" w:rsidP="00020FF8">
      <w:pPr>
        <w:shd w:val="clear" w:color="auto" w:fill="FFFFFF"/>
        <w:spacing w:line="360" w:lineRule="atLeast"/>
        <w:jc w:val="both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</w:pPr>
    </w:p>
    <w:p w14:paraId="4DC88F14" w14:textId="235CA93D" w:rsidR="00E66A50" w:rsidRDefault="00E66A50" w:rsidP="00020FF8">
      <w:pPr>
        <w:shd w:val="clear" w:color="auto" w:fill="FFFFFF"/>
        <w:spacing w:line="360" w:lineRule="atLeast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A 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sequence diagram</w:t>
      </w:r>
      <w:r w:rsidRPr="00E66A50">
        <w:rPr>
          <w:rFonts w:ascii="Calibri" w:eastAsia="Times New Roman" w:hAnsi="Calibri" w:cs="Calibri"/>
          <w:color w:val="000000"/>
          <w:lang w:eastAsia="en-GB"/>
        </w:rPr>
        <w:t> </w:t>
      </w:r>
      <w:r>
        <w:rPr>
          <w:rFonts w:ascii="Calibri" w:eastAsia="Times New Roman" w:hAnsi="Calibri" w:cs="Calibri"/>
          <w:color w:val="000000"/>
          <w:lang w:eastAsia="en-GB"/>
        </w:rPr>
        <w:t>outlining</w:t>
      </w:r>
      <w:r w:rsidRPr="00E66A50">
        <w:rPr>
          <w:rFonts w:ascii="Calibri" w:eastAsia="Times New Roman" w:hAnsi="Calibri" w:cs="Calibri"/>
          <w:color w:val="000000"/>
          <w:lang w:eastAsia="en-GB"/>
        </w:rPr>
        <w:t xml:space="preserve"> the</w:t>
      </w:r>
      <w:r>
        <w:rPr>
          <w:rFonts w:ascii="Calibri" w:eastAsia="Times New Roman" w:hAnsi="Calibri" w:cs="Calibri"/>
          <w:color w:val="000000"/>
          <w:lang w:eastAsia="en-GB"/>
        </w:rPr>
        <w:t xml:space="preserve"> common causes and the</w:t>
      </w:r>
      <w:r w:rsidRPr="00E66A50">
        <w:rPr>
          <w:rFonts w:ascii="Calibri" w:eastAsia="Times New Roman" w:hAnsi="Calibri" w:cs="Calibri"/>
          <w:color w:val="000000"/>
          <w:lang w:eastAsia="en-GB"/>
        </w:rPr>
        <w:t xml:space="preserve"> key steps that may lead to cryptographic failures</w:t>
      </w:r>
      <w:r>
        <w:rPr>
          <w:rFonts w:ascii="Calibri" w:eastAsia="Times New Roman" w:hAnsi="Calibri" w:cs="Calibri"/>
          <w:color w:val="000000"/>
          <w:lang w:eastAsia="en-GB"/>
        </w:rPr>
        <w:t xml:space="preserve"> (</w:t>
      </w:r>
      <w:r>
        <w:rPr>
          <w:rFonts w:ascii="Calibri" w:eastAsia="Times New Roman" w:hAnsi="Calibri" w:cs="Calibri"/>
          <w:color w:val="000000"/>
          <w:lang w:eastAsia="en-GB"/>
        </w:rPr>
        <w:t xml:space="preserve">Lazar </w:t>
      </w:r>
      <w:r w:rsidRPr="00E66A50">
        <w:rPr>
          <w:rFonts w:ascii="Calibri" w:eastAsia="Times New Roman" w:hAnsi="Calibri" w:cs="Calibri"/>
          <w:i/>
          <w:iCs/>
          <w:color w:val="000000"/>
          <w:lang w:eastAsia="en-GB"/>
        </w:rPr>
        <w:t>et al</w:t>
      </w:r>
      <w:r>
        <w:rPr>
          <w:rFonts w:ascii="Calibri" w:eastAsia="Times New Roman" w:hAnsi="Calibri" w:cs="Calibri"/>
          <w:color w:val="000000"/>
          <w:lang w:eastAsia="en-GB"/>
        </w:rPr>
        <w:t xml:space="preserve">., 2014; </w:t>
      </w:r>
      <w:r>
        <w:rPr>
          <w:rFonts w:ascii="Calibri" w:eastAsia="Times New Roman" w:hAnsi="Calibri" w:cs="Calibri"/>
          <w:color w:val="000000"/>
          <w:lang w:eastAsia="en-GB"/>
        </w:rPr>
        <w:t>OWASP, 2021)</w:t>
      </w:r>
      <w:r w:rsidRPr="00E66A50">
        <w:rPr>
          <w:rFonts w:ascii="Calibri" w:eastAsia="Times New Roman" w:hAnsi="Calibri" w:cs="Calibri"/>
          <w:color w:val="000000"/>
          <w:lang w:eastAsia="en-GB"/>
        </w:rPr>
        <w:t xml:space="preserve"> is displayed in</w:t>
      </w:r>
      <w:r w:rsidR="001E11D9">
        <w:rPr>
          <w:rFonts w:ascii="Calibri" w:eastAsia="Times New Roman" w:hAnsi="Calibri" w:cs="Calibri"/>
          <w:color w:val="000000"/>
          <w:lang w:eastAsia="en-GB"/>
        </w:rPr>
        <w:t xml:space="preserve"> the attached</w:t>
      </w:r>
      <w:r w:rsidRPr="00E66A50">
        <w:rPr>
          <w:rFonts w:ascii="Calibri" w:eastAsia="Times New Roman" w:hAnsi="Calibri" w:cs="Calibri"/>
          <w:color w:val="000000"/>
          <w:lang w:eastAsia="en-GB"/>
        </w:rPr>
        <w:t> </w:t>
      </w:r>
      <w:r w:rsidRPr="00E66A50">
        <w:rPr>
          <w:rFonts w:ascii="Calibri" w:eastAsia="Times New Roman" w:hAnsi="Calibri" w:cs="Calibri"/>
          <w:b/>
          <w:bCs/>
          <w:color w:val="000000"/>
          <w:lang w:eastAsia="en-GB"/>
        </w:rPr>
        <w:t>Fig. 1</w:t>
      </w:r>
      <w:r w:rsidRPr="00E66A50">
        <w:rPr>
          <w:rFonts w:ascii="Calibri" w:eastAsia="Times New Roman" w:hAnsi="Calibri" w:cs="Calibri"/>
          <w:color w:val="000000"/>
          <w:lang w:eastAsia="en-GB"/>
        </w:rPr>
        <w:t>, created via the tool Sequencediagram.org (Sequence Diagram tool, 2022), deemed appropriate to illustrate the key steps involved in ‘sensitive data exposure’</w:t>
      </w:r>
      <w:r w:rsidR="001E11D9">
        <w:rPr>
          <w:rFonts w:ascii="Calibri" w:eastAsia="Times New Roman" w:hAnsi="Calibri" w:cs="Calibri"/>
          <w:color w:val="000000"/>
          <w:lang w:eastAsia="en-GB"/>
        </w:rPr>
        <w:t xml:space="preserve"> (OWASP, 2017)</w:t>
      </w:r>
      <w:r w:rsidRPr="00E66A50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9692C2B" w14:textId="42D03D6B" w:rsidR="00020FF8" w:rsidRDefault="00020FF8" w:rsidP="00020FF8">
      <w:pPr>
        <w:shd w:val="clear" w:color="auto" w:fill="FFFFFF"/>
        <w:spacing w:line="360" w:lineRule="atLeast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49D11CDE" w14:textId="1062D5BD" w:rsidR="00020FF8" w:rsidRDefault="00020FF8" w:rsidP="00020FF8">
      <w:pPr>
        <w:shd w:val="clear" w:color="auto" w:fill="FFFFFF"/>
        <w:spacing w:line="360" w:lineRule="atLeast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3AAE64BD" wp14:editId="3490C77A">
            <wp:extent cx="5731510" cy="31292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05A0" w14:textId="667D7BAF" w:rsidR="00020FF8" w:rsidRPr="00E66A50" w:rsidRDefault="00020FF8" w:rsidP="00020FF8">
      <w:pPr>
        <w:shd w:val="clear" w:color="auto" w:fill="FFFFFF"/>
        <w:spacing w:line="360" w:lineRule="atLeast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020FF8">
        <w:rPr>
          <w:rFonts w:ascii="Calibri" w:eastAsia="Times New Roman" w:hAnsi="Calibri" w:cs="Calibri"/>
          <w:b/>
          <w:bCs/>
          <w:color w:val="000000"/>
          <w:lang w:eastAsia="en-GB"/>
        </w:rPr>
        <w:lastRenderedPageBreak/>
        <w:t>Figure 1</w:t>
      </w:r>
      <w:r>
        <w:rPr>
          <w:rFonts w:ascii="Calibri" w:eastAsia="Times New Roman" w:hAnsi="Calibri" w:cs="Calibri"/>
          <w:color w:val="000000"/>
          <w:lang w:eastAsia="en-GB"/>
        </w:rPr>
        <w:t>. Sequence diagram of steps leading to cryptographic failures.</w:t>
      </w:r>
    </w:p>
    <w:p w14:paraId="77B1E49B" w14:textId="3CB8257E" w:rsidR="00E66A50" w:rsidRPr="00E66A50" w:rsidRDefault="00E66A50" w:rsidP="00020FF8">
      <w:pPr>
        <w:shd w:val="clear" w:color="auto" w:fill="FFFFFF"/>
        <w:spacing w:line="360" w:lineRule="atLeast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7E9C073D" w14:textId="0D8D0D36" w:rsidR="00E66A50" w:rsidRPr="00E66A50" w:rsidRDefault="00E66A50" w:rsidP="00020FF8">
      <w:pPr>
        <w:shd w:val="clear" w:color="auto" w:fill="FFFFFF"/>
        <w:spacing w:line="360" w:lineRule="atLeast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Such cryptographic failures can be prevented by</w:t>
      </w:r>
      <w:r w:rsidR="001E11D9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leveraging</w:t>
      </w: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(OWASP, 2017, 2021):</w:t>
      </w:r>
    </w:p>
    <w:p w14:paraId="42CEB5F5" w14:textId="3A0D0850" w:rsidR="00E66A50" w:rsidRPr="00E66A50" w:rsidRDefault="00E66A50" w:rsidP="00020FF8">
      <w:pPr>
        <w:shd w:val="clear" w:color="auto" w:fill="FFFFFF"/>
        <w:spacing w:line="360" w:lineRule="atLeast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-</w:t>
      </w:r>
      <w:r w:rsidRPr="00E66A50">
        <w:rPr>
          <w:rFonts w:ascii="Calibri" w:eastAsia="Times New Roman" w:hAnsi="Calibri" w:cs="Calibri"/>
          <w:color w:val="000000"/>
          <w:sz w:val="14"/>
          <w:szCs w:val="14"/>
          <w:bdr w:val="none" w:sz="0" w:space="0" w:color="auto" w:frame="1"/>
          <w:lang w:eastAsia="en-GB"/>
        </w:rPr>
        <w:t>   </w:t>
      </w:r>
      <w:r w:rsidR="001E11D9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R</w:t>
      </w: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obust and adaptive hashing algorithms with a delay factor to store credentials, such as Argon2 and PBKDF2.</w:t>
      </w:r>
    </w:p>
    <w:p w14:paraId="0F274928" w14:textId="38DA8E65" w:rsidR="00E66A50" w:rsidRPr="00E66A50" w:rsidRDefault="00E66A50" w:rsidP="00020FF8">
      <w:pPr>
        <w:shd w:val="clear" w:color="auto" w:fill="FFFFFF"/>
        <w:spacing w:line="360" w:lineRule="atLeast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-</w:t>
      </w:r>
      <w:r w:rsidRPr="00E66A50">
        <w:rPr>
          <w:rFonts w:ascii="Calibri" w:eastAsia="Times New Roman" w:hAnsi="Calibri" w:cs="Calibri"/>
          <w:color w:val="000000"/>
          <w:sz w:val="14"/>
          <w:szCs w:val="14"/>
          <w:bdr w:val="none" w:sz="0" w:space="0" w:color="auto" w:frame="1"/>
          <w:lang w:eastAsia="en-GB"/>
        </w:rPr>
        <w:t>  </w:t>
      </w:r>
      <w:r w:rsidR="001E11D9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Secure and up-to-date protocols</w:t>
      </w: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to transfer sensitive information.</w:t>
      </w:r>
    </w:p>
    <w:p w14:paraId="712E2C24" w14:textId="74943868" w:rsidR="00E66A50" w:rsidRPr="00E66A50" w:rsidRDefault="00E66A50" w:rsidP="00020FF8">
      <w:pPr>
        <w:shd w:val="clear" w:color="auto" w:fill="FFFFFF"/>
        <w:spacing w:line="360" w:lineRule="atLeast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-</w:t>
      </w:r>
      <w:r w:rsidRPr="00E66A50">
        <w:rPr>
          <w:rFonts w:ascii="Calibri" w:eastAsia="Times New Roman" w:hAnsi="Calibri" w:cs="Calibri"/>
          <w:color w:val="000000"/>
          <w:sz w:val="14"/>
          <w:szCs w:val="14"/>
          <w:bdr w:val="none" w:sz="0" w:space="0" w:color="auto" w:frame="1"/>
          <w:lang w:eastAsia="en-GB"/>
        </w:rPr>
        <w:t xml:space="preserve">  </w:t>
      </w:r>
      <w:r w:rsidR="001E11D9">
        <w:rPr>
          <w:rFonts w:ascii="Calibri" w:eastAsia="Times New Roman" w:hAnsi="Calibri" w:cs="Calibri"/>
          <w:color w:val="000000"/>
          <w:lang w:eastAsia="en-GB"/>
        </w:rPr>
        <w:t>A</w:t>
      </w:r>
      <w:r w:rsidRPr="00E66A50">
        <w:rPr>
          <w:rFonts w:ascii="Calibri" w:eastAsia="Times New Roman" w:hAnsi="Calibri" w:cs="Calibri"/>
          <w:color w:val="000000"/>
          <w:lang w:eastAsia="en-GB"/>
        </w:rPr>
        <w:t>uthenticated encryption should be in place.</w:t>
      </w:r>
    </w:p>
    <w:p w14:paraId="13604C27" w14:textId="63DD5445" w:rsidR="00E66A50" w:rsidRDefault="00E66A50" w:rsidP="00020FF8">
      <w:pPr>
        <w:shd w:val="clear" w:color="auto" w:fill="FFFFFF"/>
        <w:spacing w:line="360" w:lineRule="atLeast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</w:pP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-</w:t>
      </w:r>
      <w:r w:rsidRPr="00E66A50">
        <w:rPr>
          <w:rFonts w:ascii="Calibri" w:eastAsia="Times New Roman" w:hAnsi="Calibri" w:cs="Calibri"/>
          <w:color w:val="000000"/>
          <w:sz w:val="14"/>
          <w:szCs w:val="14"/>
          <w:bdr w:val="none" w:sz="0" w:space="0" w:color="auto" w:frame="1"/>
          <w:lang w:eastAsia="en-GB"/>
        </w:rPr>
        <w:t xml:space="preserve">  </w:t>
      </w: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Random keys for masking credentials and stor</w:t>
      </w:r>
      <w:r w:rsidR="001E11D9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ing them</w:t>
      </w:r>
      <w:r w:rsidRPr="00E66A50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as byte arrays.</w:t>
      </w:r>
    </w:p>
    <w:p w14:paraId="2B210B27" w14:textId="4F66D632" w:rsidR="0091045E" w:rsidRPr="00E66A50" w:rsidRDefault="0091045E" w:rsidP="00020FF8">
      <w:pPr>
        <w:shd w:val="clear" w:color="auto" w:fill="FFFFFF"/>
        <w:spacing w:line="360" w:lineRule="atLeast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- </w:t>
      </w:r>
      <w:r w:rsidR="001E11D9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U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p-to-date hashing algorithms to store </w:t>
      </w:r>
      <w:r w:rsidR="001E11D9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credentials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, as one-way methods that cannot be</w:t>
      </w:r>
      <w:r w:rsidR="001E11D9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decrypted.</w:t>
      </w:r>
    </w:p>
    <w:p w14:paraId="70563D5F" w14:textId="111B0808" w:rsidR="00E66A50" w:rsidRDefault="00E66A50" w:rsidP="00020FF8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 w:rsidRPr="00E66A50">
        <w:rPr>
          <w:rFonts w:ascii="Arial" w:eastAsia="Times New Roman" w:hAnsi="Arial" w:cs="Arial"/>
          <w:color w:val="373A3C"/>
          <w:lang w:eastAsia="en-GB"/>
        </w:rPr>
        <w:t>  </w:t>
      </w:r>
    </w:p>
    <w:p w14:paraId="550FE529" w14:textId="77777777" w:rsidR="00020FF8" w:rsidRPr="00E66A50" w:rsidRDefault="00020FF8" w:rsidP="00020FF8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</w:p>
    <w:p w14:paraId="377D511C" w14:textId="77777777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b/>
          <w:bCs/>
          <w:color w:val="000000"/>
          <w:lang w:eastAsia="en-GB"/>
        </w:rPr>
        <w:t>References</w:t>
      </w:r>
    </w:p>
    <w:p w14:paraId="63965E54" w14:textId="77777777" w:rsid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5F7998F1" w14:textId="77777777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lang w:eastAsia="en-GB"/>
        </w:rPr>
        <w:t>Lazar, D., Chen, H., Wang, X. &amp; Zeldovich, N. (2014) ‘Why does cryptographic software fail’.  </w:t>
      </w:r>
      <w:r w:rsidRPr="00E66A50">
        <w:rPr>
          <w:rFonts w:ascii="Calibri" w:eastAsia="Times New Roman" w:hAnsi="Calibri" w:cs="Calibri"/>
          <w:i/>
          <w:iCs/>
          <w:color w:val="000000"/>
          <w:lang w:eastAsia="en-GB"/>
        </w:rPr>
        <w:t>Proceedings of 5th Asia-Pacific Workshop on Systems</w:t>
      </w:r>
      <w:r w:rsidRPr="00E66A50">
        <w:rPr>
          <w:rFonts w:ascii="Calibri" w:eastAsia="Times New Roman" w:hAnsi="Calibri" w:cs="Calibri"/>
          <w:color w:val="000000"/>
          <w:lang w:eastAsia="en-GB"/>
        </w:rPr>
        <w:t>, 2014 Beijing, China. ACM, 7.</w:t>
      </w:r>
    </w:p>
    <w:p w14:paraId="142B27AB" w14:textId="77777777" w:rsid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7C46C49F" w14:textId="1AADAF4F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lang w:eastAsia="en-GB"/>
        </w:rPr>
        <w:t>Mitre (2017) Weaknesses in OWASP Top Ten.</w:t>
      </w:r>
    </w:p>
    <w:p w14:paraId="41F2086A" w14:textId="363C6A95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7D399FB3" w14:textId="77777777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lang w:eastAsia="en-GB"/>
        </w:rPr>
        <w:t>OWASP (2017) A3 Sensitive Data Exposure. Retrieved from </w:t>
      </w:r>
      <w:hyperlink r:id="rId5" w:history="1">
        <w:r w:rsidRPr="00E66A50">
          <w:rPr>
            <w:rFonts w:ascii="Calibri" w:eastAsia="Times New Roman" w:hAnsi="Calibri" w:cs="Calibri"/>
            <w:b/>
            <w:bCs/>
            <w:color w:val="000000"/>
            <w:u w:val="single"/>
            <w:shd w:val="clear" w:color="auto" w:fill="FFFFFF"/>
            <w:lang w:eastAsia="en-GB"/>
          </w:rPr>
          <w:t>https://cwe.mitre.org/data/definitions/1029.html</w:t>
        </w:r>
      </w:hyperlink>
      <w:r w:rsidRPr="00E66A50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6B08406" w14:textId="46D1A507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5CC5A688" w14:textId="77777777" w:rsidR="00E66A50" w:rsidRPr="00E66A50" w:rsidRDefault="00E66A50" w:rsidP="00020FF8">
      <w:pPr>
        <w:shd w:val="clear" w:color="auto" w:fill="FFFFFF"/>
        <w:spacing w:line="360" w:lineRule="atLeast"/>
        <w:jc w:val="both"/>
        <w:rPr>
          <w:rFonts w:ascii="Calibri" w:eastAsia="Times New Roman" w:hAnsi="Calibri" w:cs="Calibri"/>
          <w:color w:val="000000"/>
          <w:lang w:eastAsia="en-GB"/>
        </w:rPr>
      </w:pPr>
      <w:r w:rsidRPr="00E66A50">
        <w:rPr>
          <w:rFonts w:ascii="Calibri" w:eastAsia="Times New Roman" w:hAnsi="Calibri" w:cs="Calibri"/>
          <w:color w:val="000000"/>
          <w:lang w:eastAsia="en-GB"/>
        </w:rPr>
        <w:t>OWASP (2021) A02 Cryptographic failures. Retrieved from </w:t>
      </w:r>
      <w:hyperlink r:id="rId6" w:history="1">
        <w:r w:rsidRPr="00E66A50">
          <w:rPr>
            <w:rFonts w:ascii="Calibri" w:eastAsia="Times New Roman" w:hAnsi="Calibri" w:cs="Calibri"/>
            <w:b/>
            <w:bCs/>
            <w:color w:val="000000"/>
            <w:u w:val="single"/>
            <w:lang w:eastAsia="en-GB"/>
          </w:rPr>
          <w:t>https://owasp.org/Top10/A02_2021-Cryptographic_Failures/</w:t>
        </w:r>
      </w:hyperlink>
      <w:r w:rsidRPr="00E66A50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22F217C" w14:textId="373421C5" w:rsidR="00916284" w:rsidRPr="001E11D9" w:rsidRDefault="00E66A50" w:rsidP="00020FF8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GB"/>
        </w:rPr>
      </w:pPr>
      <w:hyperlink r:id="rId7" w:tgtFrame="_blank" w:history="1">
        <w:r w:rsidRPr="00E66A50">
          <w:rPr>
            <w:rFonts w:ascii="Calibri" w:eastAsia="Times New Roman" w:hAnsi="Calibri" w:cs="Calibri"/>
            <w:b/>
            <w:bCs/>
            <w:color w:val="000000"/>
            <w:u w:val="single"/>
            <w:lang w:eastAsia="en-GB"/>
          </w:rPr>
          <w:t>Sequence Diagram</w:t>
        </w:r>
      </w:hyperlink>
      <w:r w:rsidRPr="00E66A50">
        <w:rPr>
          <w:rFonts w:ascii="Calibri" w:eastAsia="Times New Roman" w:hAnsi="Calibri" w:cs="Calibri"/>
          <w:color w:val="000000"/>
          <w:lang w:eastAsia="en-GB"/>
        </w:rPr>
        <w:t> tool (2022) Retrieved from sequencediagram.org.</w:t>
      </w:r>
    </w:p>
    <w:sectPr w:rsidR="00916284" w:rsidRPr="001E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50"/>
    <w:rsid w:val="00020FF8"/>
    <w:rsid w:val="001E11D9"/>
    <w:rsid w:val="0091045E"/>
    <w:rsid w:val="00916284"/>
    <w:rsid w:val="00E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39004"/>
  <w15:chartTrackingRefBased/>
  <w15:docId w15:val="{BF1E1216-66B0-BC43-BD6C-4F41C385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A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66A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66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quencediagram.org/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asp.org/Top10/A02_2021-Cryptographic_Failures/" TargetMode="External"/><Relationship Id="rId5" Type="http://schemas.openxmlformats.org/officeDocument/2006/relationships/hyperlink" Target="https://cwe.mitre.org/data/definitions/1029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2</cp:revision>
  <dcterms:created xsi:type="dcterms:W3CDTF">2022-06-27T21:16:00Z</dcterms:created>
  <dcterms:modified xsi:type="dcterms:W3CDTF">2022-06-27T21:34:00Z</dcterms:modified>
</cp:coreProperties>
</file>