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Ficha Técnica: Prototipo de Estacionamiento Inteligente</w:t>
      </w:r>
    </w:p>
    <w:p>
      <w:r>
        <w:rPr>
          <w:b/>
        </w:rPr>
        <w:t xml:space="preserve">Microcontrolador: </w:t>
      </w:r>
      <w:r>
        <w:t>ESP32 (Placa de Desarrollo de 38 pines)</w:t>
        <w:br/>
      </w:r>
      <w:r>
        <w:rPr>
          <w:b/>
        </w:rPr>
        <w:t xml:space="preserve">Lógica de Estado: </w:t>
      </w:r>
      <w:r>
        <w:t>Libre = VERDE | Ocupado = ROJO (Azul = Sin uso / GND)</w:t>
        <w:br/>
      </w:r>
      <w:r>
        <w:rPr>
          <w:b/>
        </w:rPr>
        <w:t xml:space="preserve">Sensores Ultrasónicos: </w:t>
      </w:r>
      <w:r>
        <w:t>1x AJ-SR04M (Impermeable) / 3x HC-SR04 (Estándar)</w:t>
      </w:r>
    </w:p>
    <w:p>
      <w:pPr>
        <w:pStyle w:val="Heading2"/>
      </w:pPr>
      <w:r>
        <w:t>Mapeo de Puertos (Pinout)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Cajón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Tipo de Sensor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Límite de Detección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Pin Trig (Salida)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Pin Echo (Entrada)*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Pin LED Rojo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Pin LED Verde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Pin LED Azul</w:t>
            </w:r>
          </w:p>
        </w:tc>
      </w:tr>
      <w:tr>
        <w:tc>
          <w:tcPr>
            <w:tcW w:type="dxa" w:w="1080"/>
          </w:tcPr>
          <w:p>
            <w:r>
              <w:t>Cajón 1</w:t>
            </w:r>
          </w:p>
        </w:tc>
        <w:tc>
          <w:tcPr>
            <w:tcW w:type="dxa" w:w="1080"/>
          </w:tcPr>
          <w:p>
            <w:r>
              <w:t>Impermeable</w:t>
            </w:r>
          </w:p>
        </w:tc>
        <w:tc>
          <w:tcPr>
            <w:tcW w:type="dxa" w:w="1080"/>
          </w:tcPr>
          <w:p>
            <w:r>
              <w:t>50 cm</w:t>
            </w:r>
          </w:p>
        </w:tc>
        <w:tc>
          <w:tcPr>
            <w:tcW w:type="dxa" w:w="1080"/>
          </w:tcPr>
          <w:p>
            <w:r>
              <w:t>D23</w:t>
            </w:r>
          </w:p>
        </w:tc>
        <w:tc>
          <w:tcPr>
            <w:tcW w:type="dxa" w:w="1080"/>
          </w:tcPr>
          <w:p>
            <w:r>
              <w:t>D34</w:t>
            </w:r>
          </w:p>
        </w:tc>
        <w:tc>
          <w:tcPr>
            <w:tcW w:type="dxa" w:w="1080"/>
          </w:tcPr>
          <w:p>
            <w:r>
              <w:t>D32</w:t>
            </w:r>
          </w:p>
        </w:tc>
        <w:tc>
          <w:tcPr>
            <w:tcW w:type="dxa" w:w="1080"/>
          </w:tcPr>
          <w:p>
            <w:r>
              <w:t>D25</w:t>
            </w:r>
          </w:p>
        </w:tc>
        <w:tc>
          <w:tcPr>
            <w:tcW w:type="dxa" w:w="1080"/>
          </w:tcPr>
          <w:p>
            <w:r>
              <w:t>D33</w:t>
            </w:r>
          </w:p>
        </w:tc>
      </w:tr>
      <w:tr>
        <w:tc>
          <w:tcPr>
            <w:tcW w:type="dxa" w:w="1080"/>
          </w:tcPr>
          <w:p>
            <w:r>
              <w:t>Cajón 2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10 cm</w:t>
            </w:r>
          </w:p>
        </w:tc>
        <w:tc>
          <w:tcPr>
            <w:tcW w:type="dxa" w:w="1080"/>
          </w:tcPr>
          <w:p>
            <w:r>
              <w:t>D22</w:t>
            </w:r>
          </w:p>
        </w:tc>
        <w:tc>
          <w:tcPr>
            <w:tcW w:type="dxa" w:w="1080"/>
          </w:tcPr>
          <w:p>
            <w:r>
              <w:t>D35</w:t>
            </w:r>
          </w:p>
        </w:tc>
        <w:tc>
          <w:tcPr>
            <w:tcW w:type="dxa" w:w="1080"/>
          </w:tcPr>
          <w:p>
            <w:r>
              <w:t>D26</w:t>
            </w:r>
          </w:p>
        </w:tc>
        <w:tc>
          <w:tcPr>
            <w:tcW w:type="dxa" w:w="1080"/>
          </w:tcPr>
          <w:p>
            <w:r>
              <w:t>D27</w:t>
            </w:r>
          </w:p>
        </w:tc>
        <w:tc>
          <w:tcPr>
            <w:tcW w:type="dxa" w:w="1080"/>
          </w:tcPr>
          <w:p>
            <w:r>
              <w:t>D14</w:t>
            </w:r>
          </w:p>
        </w:tc>
      </w:tr>
      <w:tr>
        <w:tc>
          <w:tcPr>
            <w:tcW w:type="dxa" w:w="1080"/>
          </w:tcPr>
          <w:p>
            <w:r>
              <w:t>Cajón 3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10 cm</w:t>
            </w:r>
          </w:p>
        </w:tc>
        <w:tc>
          <w:tcPr>
            <w:tcW w:type="dxa" w:w="1080"/>
          </w:tcPr>
          <w:p>
            <w:r>
              <w:t>D21</w:t>
            </w:r>
          </w:p>
        </w:tc>
        <w:tc>
          <w:tcPr>
            <w:tcW w:type="dxa" w:w="1080"/>
          </w:tcPr>
          <w:p>
            <w:r>
              <w:t>D36 (VP)</w:t>
            </w:r>
          </w:p>
        </w:tc>
        <w:tc>
          <w:tcPr>
            <w:tcW w:type="dxa" w:w="1080"/>
          </w:tcPr>
          <w:p>
            <w:r>
              <w:t>D16 (RX2)</w:t>
            </w:r>
          </w:p>
        </w:tc>
        <w:tc>
          <w:tcPr>
            <w:tcW w:type="dxa" w:w="1080"/>
          </w:tcPr>
          <w:p>
            <w:r>
              <w:t>D18</w:t>
            </w:r>
          </w:p>
        </w:tc>
        <w:tc>
          <w:tcPr>
            <w:tcW w:type="dxa" w:w="1080"/>
          </w:tcPr>
          <w:p>
            <w:r>
              <w:t>D17 (TX2)</w:t>
            </w:r>
          </w:p>
        </w:tc>
      </w:tr>
      <w:tr>
        <w:tc>
          <w:tcPr>
            <w:tcW w:type="dxa" w:w="1080"/>
          </w:tcPr>
          <w:p>
            <w:r>
              <w:t>Cajón 4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10 cm</w:t>
            </w:r>
          </w:p>
        </w:tc>
        <w:tc>
          <w:tcPr>
            <w:tcW w:type="dxa" w:w="1080"/>
          </w:tcPr>
          <w:p>
            <w:r>
              <w:t>D19</w:t>
            </w:r>
          </w:p>
        </w:tc>
        <w:tc>
          <w:tcPr>
            <w:tcW w:type="dxa" w:w="1080"/>
          </w:tcPr>
          <w:p>
            <w:r>
              <w:t>D39 (VN)</w:t>
            </w:r>
          </w:p>
        </w:tc>
        <w:tc>
          <w:tcPr>
            <w:tcW w:type="dxa" w:w="1080"/>
          </w:tcPr>
          <w:p>
            <w:r>
              <w:t>D5</w:t>
            </w:r>
          </w:p>
        </w:tc>
        <w:tc>
          <w:tcPr>
            <w:tcW w:type="dxa" w:w="1080"/>
          </w:tcPr>
          <w:p>
            <w:r>
              <w:t>D2</w:t>
            </w:r>
          </w:p>
        </w:tc>
        <w:tc>
          <w:tcPr>
            <w:tcW w:type="dxa" w:w="1080"/>
          </w:tcPr>
          <w:p>
            <w:r>
              <w:t>D4</w:t>
            </w:r>
          </w:p>
        </w:tc>
      </w:tr>
    </w:tbl>
    <w:p>
      <w:pPr>
        <w:pStyle w:val="Heading2"/>
      </w:pPr>
      <w:r>
        <w:t>Conexiones de Alimentación y Seguridad</w:t>
      </w:r>
    </w:p>
    <w:p>
      <w:pPr>
        <w:pStyle w:val="ListBullet"/>
      </w:pPr>
      <w:r>
        <w:t>VCC (Sensores): Conectados al pin VIN (5V) del ESP32 para garantizar la potencia correcta, especialmente para el sensor impermeable.</w:t>
      </w:r>
    </w:p>
    <w:p>
      <w:pPr>
        <w:pStyle w:val="ListBullet"/>
      </w:pPr>
      <w:r>
        <w:t>GND (Común): Todos los sensores ultrasónicos, los cátodos de los LEDs RGB y los divisores de voltaje comparten la misma línea conectada a un pin GND del ESP32.</w:t>
      </w:r>
    </w:p>
    <w:p>
      <w:pPr>
        <w:pStyle w:val="ListBullet"/>
      </w:pPr>
      <w:r>
        <w:t>(*) Divisores de Voltaje (Protección): Cada línea que va hacia los pines Echo (34, 35, 36 y 39) cuenta con un divisor de voltaje compuesto por una resistencia de 1kΩ (en serie) y una de 2kΩ (aterrizada a GND) para reducir la señal de 5V del sensor a los 3.3V seguros que soporta el ESP32.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