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E7E" w:rsidRPr="0047534F" w:rsidRDefault="00D22CE4" w:rsidP="005E305E">
      <w:pPr>
        <w:pStyle w:val="Ttulo"/>
      </w:pPr>
      <w:r>
        <w:t>Propuesta</w:t>
      </w:r>
    </w:p>
    <w:p w:rsidR="0047534F" w:rsidRDefault="0047534F" w:rsidP="0047534F">
      <w:pPr>
        <w:spacing w:after="0" w:line="240" w:lineRule="auto"/>
      </w:pPr>
    </w:p>
    <w:p w:rsidR="0047534F" w:rsidRDefault="0047534F" w:rsidP="0047534F">
      <w:pPr>
        <w:spacing w:after="0" w:line="240" w:lineRule="auto"/>
      </w:pPr>
      <w:r>
        <w:t>Autor:</w:t>
      </w:r>
      <w:r w:rsidR="009C2197">
        <w:t xml:space="preserve"> Schaberger Mariano – </w:t>
      </w:r>
      <w:proofErr w:type="spellStart"/>
      <w:r w:rsidR="009C2197">
        <w:t>Raimondo</w:t>
      </w:r>
      <w:proofErr w:type="spellEnd"/>
      <w:r w:rsidR="009C2197">
        <w:t xml:space="preserve"> Néstor</w:t>
      </w:r>
    </w:p>
    <w:p w:rsidR="0047534F" w:rsidRDefault="0047534F" w:rsidP="0047534F">
      <w:pPr>
        <w:spacing w:after="0" w:line="240" w:lineRule="auto"/>
      </w:pPr>
      <w:r>
        <w:t>Proyecto:</w:t>
      </w:r>
      <w:r w:rsidR="009C2197">
        <w:t xml:space="preserve"> Comunicaciones Internas</w:t>
      </w:r>
    </w:p>
    <w:p w:rsidR="0047534F" w:rsidRDefault="0047534F" w:rsidP="0047534F">
      <w:pPr>
        <w:spacing w:after="0" w:line="240" w:lineRule="auto"/>
      </w:pPr>
      <w:r>
        <w:t>Fecha:</w:t>
      </w:r>
      <w:r w:rsidR="009C2197">
        <w:t xml:space="preserve"> 2</w:t>
      </w:r>
      <w:r w:rsidR="00D22CE4">
        <w:t>9</w:t>
      </w:r>
      <w:r w:rsidR="009C2197">
        <w:t>/09/2014</w:t>
      </w:r>
    </w:p>
    <w:p w:rsidR="0047534F" w:rsidRDefault="0047534F" w:rsidP="005E305E">
      <w:pPr>
        <w:pStyle w:val="Ttulo1"/>
      </w:pPr>
      <w:r>
        <w:t>Descripción</w:t>
      </w:r>
    </w:p>
    <w:p w:rsidR="00D4631E" w:rsidRPr="00D4631E" w:rsidRDefault="00D4631E" w:rsidP="00D4631E">
      <w:r>
        <w:t>A continuación se listan los requerimientos que se captaron en la capacitación de comunicaciones internas del día 25/09/2014.</w:t>
      </w:r>
    </w:p>
    <w:p w:rsidR="00D4631E" w:rsidRPr="00583DFE" w:rsidRDefault="00EB23A6" w:rsidP="00D4631E">
      <w:pPr>
        <w:pStyle w:val="Prrafodelista"/>
        <w:numPr>
          <w:ilvl w:val="0"/>
          <w:numId w:val="1"/>
        </w:numPr>
        <w:rPr>
          <w:highlight w:val="yellow"/>
        </w:rPr>
      </w:pPr>
      <w:r>
        <w:rPr>
          <w:b/>
          <w:highlight w:val="yellow"/>
        </w:rPr>
        <w:t xml:space="preserve">1132: </w:t>
      </w:r>
      <w:r w:rsidR="00D4631E" w:rsidRPr="00583DFE">
        <w:rPr>
          <w:b/>
          <w:highlight w:val="yellow"/>
        </w:rPr>
        <w:t>ENVÍOS A REVISIÓN</w:t>
      </w:r>
      <w:r w:rsidR="00D4631E" w:rsidRPr="00583DFE">
        <w:rPr>
          <w:highlight w:val="yellow"/>
        </w:rPr>
        <w:t>: Cuando una comunicación es enviada a revisión, se seleccionan revisores y se puede indicar cuales revisores deben aprobar la comunicación para que pueda ser publicada. Es decir, hasta que todos los revisores obligatorios no dan su OK no se habilita la aprobación.</w:t>
      </w:r>
    </w:p>
    <w:p w:rsidR="00D4631E" w:rsidRDefault="00D4631E" w:rsidP="00D4631E">
      <w:pPr>
        <w:pStyle w:val="Prrafodelista"/>
        <w:ind w:left="390"/>
      </w:pPr>
      <w:r w:rsidRPr="00583DFE">
        <w:rPr>
          <w:highlight w:val="yellow"/>
        </w:rPr>
        <w:t>Implica separar las opciones APROBAR y PUBLICAR (pasan a ser dos opciones en vez de una).</w:t>
      </w:r>
    </w:p>
    <w:p w:rsidR="00D4631E" w:rsidRPr="004451E8" w:rsidRDefault="00EB23A6" w:rsidP="00D4631E">
      <w:pPr>
        <w:pStyle w:val="Prrafodelista"/>
        <w:numPr>
          <w:ilvl w:val="0"/>
          <w:numId w:val="1"/>
        </w:numPr>
        <w:rPr>
          <w:highlight w:val="green"/>
        </w:rPr>
      </w:pPr>
      <w:r w:rsidRPr="004451E8">
        <w:rPr>
          <w:b/>
          <w:highlight w:val="green"/>
        </w:rPr>
        <w:t xml:space="preserve">1240: </w:t>
      </w:r>
      <w:r w:rsidR="00D4631E" w:rsidRPr="004451E8">
        <w:rPr>
          <w:b/>
          <w:highlight w:val="green"/>
        </w:rPr>
        <w:t>BIBLIOTECA</w:t>
      </w:r>
      <w:r w:rsidR="00D4631E" w:rsidRPr="004451E8">
        <w:rPr>
          <w:highlight w:val="green"/>
        </w:rPr>
        <w:t>: Búsqueda de comunicaciones no vigentes o dadas de baja desde el portal.</w:t>
      </w:r>
    </w:p>
    <w:p w:rsidR="00D4631E" w:rsidRPr="004451E8" w:rsidRDefault="00EB23A6" w:rsidP="00D4631E">
      <w:pPr>
        <w:pStyle w:val="Prrafodelista"/>
        <w:numPr>
          <w:ilvl w:val="0"/>
          <w:numId w:val="1"/>
        </w:numPr>
        <w:rPr>
          <w:highlight w:val="green"/>
        </w:rPr>
      </w:pPr>
      <w:r w:rsidRPr="004451E8">
        <w:rPr>
          <w:b/>
          <w:highlight w:val="green"/>
        </w:rPr>
        <w:t xml:space="preserve">1142: </w:t>
      </w:r>
      <w:r w:rsidR="00D4631E" w:rsidRPr="004451E8">
        <w:rPr>
          <w:highlight w:val="green"/>
        </w:rPr>
        <w:t>Cuando el usuario tilda la comunicación, que se guarde la versión que tiene la comunicación en el momento de lectura.</w:t>
      </w:r>
    </w:p>
    <w:p w:rsidR="009C2197" w:rsidRDefault="00EB23A6" w:rsidP="009C2197">
      <w:pPr>
        <w:pStyle w:val="Prrafodelista"/>
        <w:numPr>
          <w:ilvl w:val="0"/>
          <w:numId w:val="1"/>
        </w:numPr>
      </w:pPr>
      <w:r>
        <w:rPr>
          <w:b/>
        </w:rPr>
        <w:t xml:space="preserve">1241: </w:t>
      </w:r>
      <w:r w:rsidR="00D4631E" w:rsidRPr="00D4631E">
        <w:rPr>
          <w:b/>
        </w:rPr>
        <w:t>SECCIONES</w:t>
      </w:r>
      <w:r w:rsidR="00D4631E">
        <w:t xml:space="preserve">: </w:t>
      </w:r>
      <w:r w:rsidR="00824F94">
        <w:t>Asociar cada sección con una imagen.</w:t>
      </w:r>
    </w:p>
    <w:p w:rsidR="00907E7E" w:rsidRPr="002C2781" w:rsidRDefault="00EB23A6" w:rsidP="00907E7E">
      <w:pPr>
        <w:pStyle w:val="Prrafodelista"/>
        <w:numPr>
          <w:ilvl w:val="0"/>
          <w:numId w:val="1"/>
        </w:numPr>
        <w:rPr>
          <w:highlight w:val="green"/>
        </w:rPr>
      </w:pPr>
      <w:r w:rsidRPr="002C2781">
        <w:rPr>
          <w:b/>
          <w:highlight w:val="green"/>
        </w:rPr>
        <w:t xml:space="preserve">1243: </w:t>
      </w:r>
      <w:r w:rsidR="00907E7E" w:rsidRPr="002C2781">
        <w:rPr>
          <w:highlight w:val="green"/>
        </w:rPr>
        <w:t xml:space="preserve">En la sección de comunicaciones “más leídas”, cuando dice, por ejemplo, “2 lecturas”, que al hacer clic ahí se abra un pop-up </w:t>
      </w:r>
      <w:r w:rsidR="00D4631E" w:rsidRPr="002C2781">
        <w:rPr>
          <w:highlight w:val="green"/>
        </w:rPr>
        <w:t xml:space="preserve">(ventana emergente) </w:t>
      </w:r>
      <w:r w:rsidR="00907E7E" w:rsidRPr="002C2781">
        <w:rPr>
          <w:highlight w:val="green"/>
        </w:rPr>
        <w:t>mostrando quienes la leyeron y la fecha de lectura.</w:t>
      </w:r>
    </w:p>
    <w:p w:rsidR="00907E7E" w:rsidRPr="006A6336" w:rsidRDefault="00EB23A6" w:rsidP="00907E7E">
      <w:pPr>
        <w:pStyle w:val="Prrafodelista"/>
        <w:numPr>
          <w:ilvl w:val="0"/>
          <w:numId w:val="1"/>
        </w:numPr>
        <w:rPr>
          <w:highlight w:val="green"/>
        </w:rPr>
      </w:pPr>
      <w:r w:rsidRPr="006A6336">
        <w:rPr>
          <w:b/>
          <w:highlight w:val="green"/>
        </w:rPr>
        <w:t xml:space="preserve">1244: </w:t>
      </w:r>
      <w:r w:rsidR="00907E7E" w:rsidRPr="006A6336">
        <w:rPr>
          <w:highlight w:val="green"/>
        </w:rPr>
        <w:t>Agregar envío de mails cuando se comenta una comunicación.</w:t>
      </w:r>
    </w:p>
    <w:p w:rsidR="00D4631E" w:rsidRPr="00997D7B" w:rsidRDefault="00EB23A6" w:rsidP="00907E7E">
      <w:pPr>
        <w:pStyle w:val="Prrafodelista"/>
        <w:numPr>
          <w:ilvl w:val="0"/>
          <w:numId w:val="1"/>
        </w:numPr>
        <w:rPr>
          <w:highlight w:val="green"/>
        </w:rPr>
      </w:pPr>
      <w:r w:rsidRPr="00997D7B">
        <w:rPr>
          <w:b/>
          <w:highlight w:val="green"/>
        </w:rPr>
        <w:t xml:space="preserve">1245: </w:t>
      </w:r>
      <w:r w:rsidR="00D4631E" w:rsidRPr="00997D7B">
        <w:rPr>
          <w:highlight w:val="green"/>
        </w:rPr>
        <w:t>Mail al autor: agregar el botón con mail al autor (como en las comunicaciones normales).</w:t>
      </w:r>
    </w:p>
    <w:p w:rsidR="00907E7E" w:rsidRDefault="00EB23A6" w:rsidP="00907E7E">
      <w:pPr>
        <w:pStyle w:val="Prrafodelista"/>
        <w:numPr>
          <w:ilvl w:val="0"/>
          <w:numId w:val="1"/>
        </w:numPr>
      </w:pPr>
      <w:r>
        <w:rPr>
          <w:b/>
        </w:rPr>
        <w:t xml:space="preserve">1246: </w:t>
      </w:r>
      <w:r w:rsidR="00907E7E">
        <w:t>Novedades de la portada de intranet: mostrar las novedades de comunicaciones internas. Podría ser que aparezcan arriba de las novedades normales de intranet (en otro slider).</w:t>
      </w:r>
    </w:p>
    <w:p w:rsidR="00907E7E" w:rsidRDefault="00EB23A6" w:rsidP="00907E7E">
      <w:pPr>
        <w:pStyle w:val="Prrafodelista"/>
        <w:numPr>
          <w:ilvl w:val="0"/>
          <w:numId w:val="1"/>
        </w:numPr>
      </w:pPr>
      <w:r>
        <w:rPr>
          <w:b/>
        </w:rPr>
        <w:t xml:space="preserve">1247: </w:t>
      </w:r>
      <w:r w:rsidR="00907E7E">
        <w:t>En todas las opciones, pero principalmente en “mis comunicaciones”, poner una tilde para ver sólo las comunicaciones que no leyó mi usuario. También poner este filtro en el buscador.</w:t>
      </w:r>
    </w:p>
    <w:p w:rsidR="009571EE" w:rsidRDefault="00EB23A6" w:rsidP="00907E7E">
      <w:pPr>
        <w:pStyle w:val="Prrafodelista"/>
        <w:numPr>
          <w:ilvl w:val="0"/>
          <w:numId w:val="1"/>
        </w:numPr>
      </w:pPr>
      <w:r>
        <w:rPr>
          <w:b/>
        </w:rPr>
        <w:t xml:space="preserve">1248: </w:t>
      </w:r>
      <w:r w:rsidR="009571EE">
        <w:t xml:space="preserve">Mejorar la </w:t>
      </w:r>
      <w:proofErr w:type="spellStart"/>
      <w:r w:rsidR="009571EE">
        <w:t>master</w:t>
      </w:r>
      <w:proofErr w:type="spellEnd"/>
      <w:r w:rsidR="009571EE">
        <w:t xml:space="preserve"> page de las comunicaciones: cuando un usuario entra a ver la comunicación por el link mandado por mail, este la puede ver antes de </w:t>
      </w:r>
      <w:proofErr w:type="spellStart"/>
      <w:r w:rsidR="009571EE">
        <w:t>loguearse</w:t>
      </w:r>
      <w:proofErr w:type="spellEnd"/>
      <w:r w:rsidR="009571EE">
        <w:t xml:space="preserve"> (el fondo queda </w:t>
      </w:r>
      <w:proofErr w:type="spellStart"/>
      <w:r w:rsidR="009571EE">
        <w:t>grisado</w:t>
      </w:r>
      <w:proofErr w:type="spellEnd"/>
      <w:r w:rsidR="009571EE">
        <w:t xml:space="preserve"> pero el usuario puede leer lo que hay detrás del </w:t>
      </w:r>
      <w:proofErr w:type="spellStart"/>
      <w:r w:rsidR="009571EE">
        <w:t>popup</w:t>
      </w:r>
      <w:proofErr w:type="spellEnd"/>
      <w:r w:rsidR="009571EE">
        <w:t xml:space="preserve"> de </w:t>
      </w:r>
      <w:proofErr w:type="spellStart"/>
      <w:r w:rsidR="009571EE">
        <w:t>loguin</w:t>
      </w:r>
      <w:proofErr w:type="spellEnd"/>
      <w:r w:rsidR="009571EE">
        <w:t xml:space="preserve"> antes de meter usuario y contraseña):</w:t>
      </w:r>
    </w:p>
    <w:p w:rsidR="009571EE" w:rsidRDefault="009571EE" w:rsidP="009571EE">
      <w:pPr>
        <w:pStyle w:val="Prrafodelista"/>
        <w:ind w:left="390"/>
      </w:pPr>
      <w:r>
        <w:rPr>
          <w:noProof/>
          <w:lang w:eastAsia="es-ES"/>
        </w:rPr>
        <w:lastRenderedPageBreak/>
        <w:drawing>
          <wp:inline distT="0" distB="0" distL="0" distR="0">
            <wp:extent cx="5391150" cy="297370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1E" w:rsidRDefault="00D4631E" w:rsidP="00D4631E">
      <w:pPr>
        <w:ind w:left="30"/>
      </w:pPr>
    </w:p>
    <w:p w:rsidR="000C66B4" w:rsidRPr="009C2197" w:rsidRDefault="000C66B4" w:rsidP="000C66B4"/>
    <w:p w:rsidR="0047534F" w:rsidRDefault="0047534F"/>
    <w:sectPr w:rsidR="0047534F" w:rsidSect="00436B3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336" w:rsidRDefault="006A6336" w:rsidP="00E730AF">
      <w:pPr>
        <w:spacing w:after="0" w:line="240" w:lineRule="auto"/>
      </w:pPr>
      <w:r>
        <w:separator/>
      </w:r>
    </w:p>
  </w:endnote>
  <w:endnote w:type="continuationSeparator" w:id="0">
    <w:p w:rsidR="006A6336" w:rsidRDefault="006A6336" w:rsidP="00E7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17365D" w:themeColor="text2" w:themeShade="BF"/>
      </w:rPr>
      <w:id w:val="1321657"/>
      <w:docPartObj>
        <w:docPartGallery w:val="Page Numbers (Bottom of Page)"/>
        <w:docPartUnique/>
      </w:docPartObj>
    </w:sdtPr>
    <w:sdtContent>
      <w:sdt>
        <w:sdtPr>
          <w:rPr>
            <w:color w:val="17365D" w:themeColor="text2" w:themeShade="BF"/>
          </w:rPr>
          <w:id w:val="216747587"/>
          <w:docPartObj>
            <w:docPartGallery w:val="Page Numbers (Top of Page)"/>
            <w:docPartUnique/>
          </w:docPartObj>
        </w:sdtPr>
        <w:sdtContent>
          <w:p w:rsidR="006A6336" w:rsidRPr="00E730AF" w:rsidRDefault="006A6336">
            <w:pPr>
              <w:pStyle w:val="Piedepgina"/>
              <w:jc w:val="right"/>
              <w:rPr>
                <w:color w:val="17365D" w:themeColor="text2" w:themeShade="BF"/>
              </w:rPr>
            </w:pPr>
            <w:r w:rsidRPr="00E730AF">
              <w:rPr>
                <w:color w:val="17365D" w:themeColor="text2" w:themeShade="BF"/>
              </w:rPr>
              <w:t xml:space="preserve">Página </w:t>
            </w:r>
            <w:r w:rsidR="00533EB0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begin"/>
            </w:r>
            <w:r w:rsidRPr="00E730AF">
              <w:rPr>
                <w:b/>
                <w:color w:val="17365D" w:themeColor="text2" w:themeShade="BF"/>
              </w:rPr>
              <w:instrText>PAGE</w:instrText>
            </w:r>
            <w:r w:rsidR="00533EB0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separate"/>
            </w:r>
            <w:r w:rsidR="00997D7B">
              <w:rPr>
                <w:b/>
                <w:noProof/>
                <w:color w:val="17365D" w:themeColor="text2" w:themeShade="BF"/>
              </w:rPr>
              <w:t>1</w:t>
            </w:r>
            <w:r w:rsidR="00533EB0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end"/>
            </w:r>
            <w:r w:rsidRPr="00E730AF">
              <w:rPr>
                <w:color w:val="17365D" w:themeColor="text2" w:themeShade="BF"/>
              </w:rPr>
              <w:t xml:space="preserve"> de </w:t>
            </w:r>
            <w:r w:rsidR="00533EB0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begin"/>
            </w:r>
            <w:r w:rsidRPr="00E730AF">
              <w:rPr>
                <w:b/>
                <w:color w:val="17365D" w:themeColor="text2" w:themeShade="BF"/>
              </w:rPr>
              <w:instrText>NUMPAGES</w:instrText>
            </w:r>
            <w:r w:rsidR="00533EB0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separate"/>
            </w:r>
            <w:r w:rsidR="00997D7B">
              <w:rPr>
                <w:b/>
                <w:noProof/>
                <w:color w:val="17365D" w:themeColor="text2" w:themeShade="BF"/>
              </w:rPr>
              <w:t>2</w:t>
            </w:r>
            <w:r w:rsidR="00533EB0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006A6336" w:rsidRDefault="006A633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336" w:rsidRDefault="006A6336" w:rsidP="00E730AF">
      <w:pPr>
        <w:spacing w:after="0" w:line="240" w:lineRule="auto"/>
      </w:pPr>
      <w:r>
        <w:separator/>
      </w:r>
    </w:p>
  </w:footnote>
  <w:footnote w:type="continuationSeparator" w:id="0">
    <w:p w:rsidR="006A6336" w:rsidRDefault="006A6336" w:rsidP="00E7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336" w:rsidRDefault="00533EB0">
    <w:pPr>
      <w:pStyle w:val="Encabezado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56.25pt;margin-top:23.9pt;width:537.2pt;height:0;z-index:251659264" o:connectortype="straight" strokecolor="#365f91 [2404]" strokeweight="1.5pt">
          <v:shadow type="perspective" color="#4e6128 [1606]" opacity=".5" offset="1pt" offset2="-1pt"/>
        </v:shape>
      </w:pict>
    </w:r>
    <w:r w:rsidR="006A6336"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-695325</wp:posOffset>
          </wp:positionH>
          <wp:positionV relativeFrom="paragraph">
            <wp:posOffset>-219075</wp:posOffset>
          </wp:positionV>
          <wp:extent cx="1737995" cy="357505"/>
          <wp:effectExtent l="19050" t="0" r="0" b="0"/>
          <wp:wrapTight wrapText="bothSides">
            <wp:wrapPolygon edited="0">
              <wp:start x="-237" y="0"/>
              <wp:lineTo x="-237" y="20718"/>
              <wp:lineTo x="21545" y="20718"/>
              <wp:lineTo x="21545" y="0"/>
              <wp:lineTo x="-237" y="0"/>
            </wp:wrapPolygon>
          </wp:wrapTight>
          <wp:docPr id="1" name="0 Imagen" descr="logo sancor modific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ncor modific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799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37286"/>
    <w:multiLevelType w:val="hybridMultilevel"/>
    <w:tmpl w:val="5D74AFB0"/>
    <w:lvl w:ilvl="0" w:tplc="07300A88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strokecolor="none [2404]"/>
    </o:shapedefaults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730AF"/>
    <w:rsid w:val="00025061"/>
    <w:rsid w:val="000C66B4"/>
    <w:rsid w:val="0012750E"/>
    <w:rsid w:val="001D7CE2"/>
    <w:rsid w:val="00217BC6"/>
    <w:rsid w:val="002725FF"/>
    <w:rsid w:val="002C2781"/>
    <w:rsid w:val="002C2F95"/>
    <w:rsid w:val="002F7EB2"/>
    <w:rsid w:val="00403580"/>
    <w:rsid w:val="00422032"/>
    <w:rsid w:val="00436B31"/>
    <w:rsid w:val="004451E8"/>
    <w:rsid w:val="0047534F"/>
    <w:rsid w:val="00525850"/>
    <w:rsid w:val="00533EB0"/>
    <w:rsid w:val="00583DFE"/>
    <w:rsid w:val="005A5276"/>
    <w:rsid w:val="005E305E"/>
    <w:rsid w:val="00641EFA"/>
    <w:rsid w:val="006A6336"/>
    <w:rsid w:val="007C555C"/>
    <w:rsid w:val="00824F94"/>
    <w:rsid w:val="008506BE"/>
    <w:rsid w:val="00871D35"/>
    <w:rsid w:val="00907E7E"/>
    <w:rsid w:val="009571EE"/>
    <w:rsid w:val="0099673B"/>
    <w:rsid w:val="00997D7B"/>
    <w:rsid w:val="009C2197"/>
    <w:rsid w:val="009F0B05"/>
    <w:rsid w:val="00A00034"/>
    <w:rsid w:val="00A11AB8"/>
    <w:rsid w:val="00B0550A"/>
    <w:rsid w:val="00D21822"/>
    <w:rsid w:val="00D22CE4"/>
    <w:rsid w:val="00D4631E"/>
    <w:rsid w:val="00D62A4D"/>
    <w:rsid w:val="00DC2374"/>
    <w:rsid w:val="00E50CCF"/>
    <w:rsid w:val="00E730AF"/>
    <w:rsid w:val="00EB23A6"/>
    <w:rsid w:val="00F4464C"/>
    <w:rsid w:val="00F61BCD"/>
    <w:rsid w:val="00FA2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404]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B31"/>
  </w:style>
  <w:style w:type="paragraph" w:styleId="Ttulo1">
    <w:name w:val="heading 1"/>
    <w:basedOn w:val="Normal"/>
    <w:next w:val="Normal"/>
    <w:link w:val="Ttulo1Car"/>
    <w:uiPriority w:val="9"/>
    <w:qFormat/>
    <w:rsid w:val="00475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7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30AF"/>
  </w:style>
  <w:style w:type="paragraph" w:styleId="Piedepgina">
    <w:name w:val="footer"/>
    <w:basedOn w:val="Normal"/>
    <w:link w:val="PiedepginaCar"/>
    <w:uiPriority w:val="99"/>
    <w:unhideWhenUsed/>
    <w:rsid w:val="00E7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0AF"/>
  </w:style>
  <w:style w:type="paragraph" w:styleId="Textodeglobo">
    <w:name w:val="Balloon Text"/>
    <w:basedOn w:val="Normal"/>
    <w:link w:val="TextodegloboCar"/>
    <w:uiPriority w:val="99"/>
    <w:semiHidden/>
    <w:unhideWhenUsed/>
    <w:rsid w:val="00E73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0A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730AF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75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75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E30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30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C21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mschaberge</dc:creator>
  <cp:lastModifiedBy>mschaberge</cp:lastModifiedBy>
  <cp:revision>11</cp:revision>
  <dcterms:created xsi:type="dcterms:W3CDTF">2014-09-29T12:29:00Z</dcterms:created>
  <dcterms:modified xsi:type="dcterms:W3CDTF">2014-10-24T11:38:00Z</dcterms:modified>
</cp:coreProperties>
</file>