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sz w:val="28"/>
          <w:szCs w:val="28"/>
          <w:rtl w:val="0"/>
        </w:rPr>
        <w:t xml:space="preserve">Formulario 1. Presentación de la Propuesta</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b w:val="1"/>
          <w:bCs w:val="1"/>
          <w:sz w:val="24"/>
          <w:szCs w:val="24"/>
          <w:rtl w:val="0"/>
        </w:rPr>
        <w:t xml:space="preserve">Propuesta de Tesina</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80.0" w:type="dxa"/>
              <w:left w:w="120.0" w:type="dxa"/>
              <w:bottom w:w="80.0" w:type="dxa"/>
              <w:right w:w="120.0" w:type="dxa"/>
            </w:tcMar>
          </w:tcPr>
          <w:p w:rsidR="00000000" w:rsidDel="00000000" w:rsidP="00000000" w:rsidRDefault="00000000" w:rsidRPr="00000000" w14:paraId="00000003">
            <w:pPr>
              <w:jc w:val="left"/>
              <w:rPr/>
            </w:pPr>
            <w:r w:rsidDel="00000000" w:rsidR="00000000" w:rsidRPr="00000000">
              <w:rPr>
                <w:b w:val="1"/>
                <w:bCs w:val="1"/>
                <w:sz w:val="20"/>
                <w:szCs w:val="20"/>
                <w:rtl w:val="0"/>
              </w:rPr>
              <w:t xml:space="preserve">Nombre del trabajo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4">
            <w:pPr>
              <w:jc w:val="left"/>
              <w:rPr/>
            </w:pPr>
            <w:r w:rsidDel="00000000" w:rsidR="00000000" w:rsidRPr="00000000">
              <w:rPr>
                <w:sz w:val="20"/>
                <w:szCs w:val="20"/>
                <w:rtl w:val="0"/>
              </w:rPr>
              <w:t xml:space="preserve">Modelo vs. contexto: estudio comparativo del impacto del LLM y del conocimiento de dominio en la generación de código por agentes de 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80.0" w:type="dxa"/>
              <w:left w:w="120.0" w:type="dxa"/>
              <w:bottom w:w="80.0" w:type="dxa"/>
              <w:right w:w="120.0" w:type="dxa"/>
            </w:tcMar>
          </w:tcPr>
          <w:p w:rsidR="00000000" w:rsidDel="00000000" w:rsidP="00000000" w:rsidRDefault="00000000" w:rsidRPr="00000000" w14:paraId="00000005">
            <w:pPr>
              <w:jc w:val="left"/>
              <w:rPr/>
            </w:pPr>
            <w:r w:rsidDel="00000000" w:rsidR="00000000" w:rsidRPr="00000000">
              <w:rPr>
                <w:b w:val="1"/>
                <w:bCs w:val="1"/>
                <w:sz w:val="20"/>
                <w:szCs w:val="20"/>
                <w:rtl w:val="0"/>
              </w:rPr>
              <w:t xml:space="preserve">Directores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sz w:val="20"/>
                <w:szCs w:val="20"/>
                <w:rtl w:val="0"/>
              </w:rPr>
              <w:t xml:space="preserve">Dra. Claudia Pons</w:t>
            </w:r>
            <w:r w:rsidDel="00000000" w:rsidR="00000000" w:rsidRPr="00000000">
              <w:rPr>
                <w:rtl w:val="0"/>
              </w:rPr>
            </w:r>
          </w:p>
          <w:p w:rsidR="00000000" w:rsidDel="00000000" w:rsidP="00000000" w:rsidRDefault="00000000" w:rsidRPr="00000000" w14:paraId="00000007">
            <w:pPr>
              <w:rPr/>
            </w:pPr>
            <w:r w:rsidDel="00000000" w:rsidR="00000000" w:rsidRPr="00000000">
              <w:rPr>
                <w:sz w:val="20"/>
                <w:szCs w:val="20"/>
                <w:rtl w:val="0"/>
              </w:rPr>
              <w:t xml:space="preserve">Dr. Matías Urbieta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80.0" w:type="dxa"/>
              <w:left w:w="120.0" w:type="dxa"/>
              <w:bottom w:w="80.0" w:type="dxa"/>
              <w:right w:w="120.0" w:type="dxa"/>
            </w:tcMar>
          </w:tcPr>
          <w:p w:rsidR="00000000" w:rsidDel="00000000" w:rsidP="00000000" w:rsidRDefault="00000000" w:rsidRPr="00000000" w14:paraId="00000008">
            <w:pPr>
              <w:jc w:val="left"/>
              <w:rPr/>
            </w:pPr>
            <w:r w:rsidDel="00000000" w:rsidR="00000000" w:rsidRPr="00000000">
              <w:rPr>
                <w:b w:val="1"/>
                <w:bCs w:val="1"/>
                <w:sz w:val="20"/>
                <w:szCs w:val="20"/>
                <w:rtl w:val="0"/>
              </w:rPr>
              <w:t xml:space="preserve">Asesor Profesional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9">
            <w:pPr>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80.0" w:type="dxa"/>
              <w:left w:w="120.0" w:type="dxa"/>
              <w:bottom w:w="80.0" w:type="dxa"/>
              <w:right w:w="120.0" w:type="dxa"/>
            </w:tcMar>
          </w:tcPr>
          <w:p w:rsidR="00000000" w:rsidDel="00000000" w:rsidP="00000000" w:rsidRDefault="00000000" w:rsidRPr="00000000" w14:paraId="0000000A">
            <w:pPr>
              <w:jc w:val="left"/>
              <w:rPr/>
            </w:pPr>
            <w:r w:rsidDel="00000000" w:rsidR="00000000" w:rsidRPr="00000000">
              <w:rPr>
                <w:b w:val="1"/>
                <w:bCs w:val="1"/>
                <w:sz w:val="20"/>
                <w:szCs w:val="20"/>
                <w:rtl w:val="0"/>
              </w:rPr>
              <w:t xml:space="preserve">Alumno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B">
            <w:pPr>
              <w:jc w:val="left"/>
              <w:rPr/>
            </w:pPr>
            <w:r w:rsidDel="00000000" w:rsidR="00000000" w:rsidRPr="00000000">
              <w:rPr>
                <w:sz w:val="20"/>
                <w:szCs w:val="20"/>
                <w:rtl w:val="0"/>
              </w:rPr>
              <w:t xml:space="preserve">Martinelli, Mariano Alex  —  Nº Alumno: 14174/8 — Dirección: Calle 18 n°738, La Plata / Teléfono: +54 221-654-6907 —  mariano.a.martinelli@gmail.com</w:t>
            </w:r>
            <w:r w:rsidDel="00000000" w:rsidR="00000000" w:rsidRPr="00000000">
              <w:rPr>
                <w:rtl w:val="0"/>
              </w:rPr>
            </w:r>
          </w:p>
        </w:tc>
      </w:tr>
    </w:tbl>
    <w:p w:rsidR="00000000" w:rsidDel="00000000" w:rsidP="00000000" w:rsidRDefault="00000000" w:rsidRPr="00000000" w14:paraId="0000000C">
      <w:pPr>
        <w:spacing w:after="12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5"/>
        <w:gridCol w:w="1805"/>
        <w:gridCol w:w="1805"/>
        <w:gridCol w:w="1805"/>
        <w:gridCol w:w="1806"/>
        <w:tblGridChange w:id="0">
          <w:tblGrid>
            <w:gridCol w:w="1805"/>
            <w:gridCol w:w="1805"/>
            <w:gridCol w:w="1805"/>
            <w:gridCol w:w="1805"/>
            <w:gridCol w:w="180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80.0" w:type="dxa"/>
              <w:left w:w="120.0" w:type="dxa"/>
              <w:bottom w:w="80.0" w:type="dxa"/>
              <w:right w:w="120.0" w:type="dxa"/>
            </w:tcMar>
          </w:tcPr>
          <w:p w:rsidR="00000000" w:rsidDel="00000000" w:rsidP="00000000" w:rsidRDefault="00000000" w:rsidRPr="00000000" w14:paraId="0000000D">
            <w:pPr>
              <w:jc w:val="center"/>
              <w:rPr/>
            </w:pPr>
            <w:r w:rsidDel="00000000" w:rsidR="00000000" w:rsidRPr="00000000">
              <w:rPr>
                <w:b w:val="1"/>
                <w:bCs w:val="1"/>
                <w:sz w:val="20"/>
                <w:szCs w:val="20"/>
                <w:rtl w:val="0"/>
              </w:rPr>
              <w:t xml:space="preserve">Investigación teórica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80.0" w:type="dxa"/>
              <w:left w:w="120.0" w:type="dxa"/>
              <w:bottom w:w="80.0" w:type="dxa"/>
              <w:right w:w="120.0" w:type="dxa"/>
            </w:tcMar>
          </w:tcPr>
          <w:p w:rsidR="00000000" w:rsidDel="00000000" w:rsidP="00000000" w:rsidRDefault="00000000" w:rsidRPr="00000000" w14:paraId="0000000E">
            <w:pPr>
              <w:jc w:val="center"/>
              <w:rPr/>
            </w:pPr>
            <w:r w:rsidDel="00000000" w:rsidR="00000000" w:rsidRPr="00000000">
              <w:rPr>
                <w:b w:val="1"/>
                <w:bCs w:val="1"/>
                <w:sz w:val="20"/>
                <w:szCs w:val="20"/>
                <w:rtl w:val="0"/>
              </w:rPr>
              <w:t xml:space="preserve">Investigación aplicada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80.0" w:type="dxa"/>
              <w:left w:w="120.0" w:type="dxa"/>
              <w:bottom w:w="80.0" w:type="dxa"/>
              <w:right w:w="120.0" w:type="dxa"/>
            </w:tcMar>
          </w:tcPr>
          <w:p w:rsidR="00000000" w:rsidDel="00000000" w:rsidP="00000000" w:rsidRDefault="00000000" w:rsidRPr="00000000" w14:paraId="0000000F">
            <w:pPr>
              <w:jc w:val="center"/>
              <w:rPr/>
            </w:pPr>
            <w:r w:rsidDel="00000000" w:rsidR="00000000" w:rsidRPr="00000000">
              <w:rPr>
                <w:b w:val="1"/>
                <w:bCs w:val="1"/>
                <w:sz w:val="20"/>
                <w:szCs w:val="20"/>
                <w:rtl w:val="0"/>
              </w:rPr>
              <w:t xml:space="preserve">Desarrollo Tecnológico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80.0" w:type="dxa"/>
              <w:left w:w="120.0" w:type="dxa"/>
              <w:bottom w:w="80.0" w:type="dxa"/>
              <w:right w:w="120.0" w:type="dxa"/>
            </w:tcMar>
          </w:tcPr>
          <w:p w:rsidR="00000000" w:rsidDel="00000000" w:rsidP="00000000" w:rsidRDefault="00000000" w:rsidRPr="00000000" w14:paraId="00000010">
            <w:pPr>
              <w:jc w:val="center"/>
              <w:rPr/>
            </w:pPr>
            <w:r w:rsidDel="00000000" w:rsidR="00000000" w:rsidRPr="00000000">
              <w:rPr>
                <w:b w:val="1"/>
                <w:bCs w:val="1"/>
                <w:sz w:val="20"/>
                <w:szCs w:val="20"/>
                <w:rtl w:val="0"/>
              </w:rPr>
              <w:t xml:space="preserve">Transferencia Tecnológica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80.0" w:type="dxa"/>
              <w:left w:w="120.0" w:type="dxa"/>
              <w:bottom w:w="80.0" w:type="dxa"/>
              <w:right w:w="120.0" w:type="dxa"/>
            </w:tcMar>
          </w:tcPr>
          <w:p w:rsidR="00000000" w:rsidDel="00000000" w:rsidP="00000000" w:rsidRDefault="00000000" w:rsidRPr="00000000" w14:paraId="00000011">
            <w:pPr>
              <w:jc w:val="center"/>
              <w:rPr/>
            </w:pPr>
            <w:r w:rsidDel="00000000" w:rsidR="00000000" w:rsidRPr="00000000">
              <w:rPr>
                <w:b w:val="1"/>
                <w:bCs w:val="1"/>
                <w:sz w:val="20"/>
                <w:szCs w:val="20"/>
                <w:rtl w:val="0"/>
              </w:rPr>
              <w:t xml:space="preserve">Temática de 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2">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3">
            <w:pPr>
              <w:jc w:val="center"/>
              <w:rPr/>
            </w:pPr>
            <w:r w:rsidDel="00000000" w:rsidR="00000000" w:rsidRPr="00000000">
              <w:rPr>
                <w:b w:val="1"/>
                <w:bCs w:val="1"/>
                <w:sz w:val="20"/>
                <w:szCs w:val="20"/>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4">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5">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6">
            <w:pPr>
              <w:jc w:val="center"/>
              <w:rPr/>
            </w:pPr>
            <w:r w:rsidDel="00000000" w:rsidR="00000000" w:rsidRPr="00000000">
              <w:rPr>
                <w:rtl w:val="0"/>
              </w:rPr>
            </w:r>
          </w:p>
        </w:tc>
      </w:tr>
    </w:tbl>
    <w:p w:rsidR="00000000" w:rsidDel="00000000" w:rsidP="00000000" w:rsidRDefault="00000000" w:rsidRPr="00000000" w14:paraId="00000017">
      <w:pPr>
        <w:spacing w:after="12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b w:val="1"/>
                <w:bCs w:val="1"/>
                <w:sz w:val="20"/>
                <w:szCs w:val="20"/>
                <w:rtl w:val="0"/>
              </w:rPr>
              <w:t xml:space="preserve">Plazo de ejecución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sz w:val="20"/>
                <w:szCs w:val="20"/>
                <w:rtl w:val="0"/>
              </w:rPr>
              <w:t xml:space="preserve">6 meses</w:t>
            </w:r>
            <w:r w:rsidDel="00000000" w:rsidR="00000000" w:rsidRPr="00000000">
              <w:rPr>
                <w:rtl w:val="0"/>
              </w:rPr>
            </w:r>
          </w:p>
        </w:tc>
      </w:tr>
    </w:tbl>
    <w:p w:rsidR="00000000" w:rsidDel="00000000" w:rsidP="00000000" w:rsidRDefault="00000000" w:rsidRPr="00000000" w14:paraId="0000001A">
      <w:pPr>
        <w:spacing w:after="120" w:lineRule="auto"/>
        <w:rPr/>
      </w:pPr>
      <w:r w:rsidDel="00000000" w:rsidR="00000000" w:rsidRPr="00000000">
        <w:rPr>
          <w:rtl w:val="0"/>
        </w:rPr>
      </w:r>
    </w:p>
    <w:p w:rsidR="00000000" w:rsidDel="00000000" w:rsidP="00000000" w:rsidRDefault="00000000" w:rsidRPr="00000000" w14:paraId="0000001B">
      <w:pPr>
        <w:pStyle w:val="Heading2"/>
        <w:spacing w:after="140" w:before="280" w:lineRule="auto"/>
        <w:rPr/>
      </w:pPr>
      <w:r w:rsidDel="00000000" w:rsidR="00000000" w:rsidRPr="00000000">
        <w:rPr>
          <w:b w:val="1"/>
          <w:bCs w:val="1"/>
          <w:sz w:val="26"/>
          <w:szCs w:val="26"/>
          <w:rtl w:val="0"/>
        </w:rPr>
        <w:t xml:space="preserve">Motivación</w:t>
      </w:r>
      <w:r w:rsidDel="00000000" w:rsidR="00000000" w:rsidRPr="00000000">
        <w:rPr>
          <w:rtl w:val="0"/>
        </w:rPr>
      </w:r>
    </w:p>
    <w:p w:rsidR="00000000" w:rsidDel="00000000" w:rsidP="00000000" w:rsidRDefault="00000000" w:rsidRPr="00000000" w14:paraId="0000001C">
      <w:pPr>
        <w:spacing w:after="120" w:line="300" w:lineRule="auto"/>
        <w:jc w:val="both"/>
        <w:rPr/>
      </w:pPr>
      <w:r w:rsidDel="00000000" w:rsidR="00000000" w:rsidRPr="00000000">
        <w:rPr>
          <w:rtl w:val="0"/>
        </w:rPr>
        <w:t xml:space="preserve">El desarrollo de software es un proceso complejo que involucra múltiples etapas —análisis de requerimientos, diseño, codificación, testing— cada una con habilidades especializadas y artefactos interdependientes. En los flujos de trabajo tradicionales, las transiciones entre etapas se realizan manualmente, introduciendo errores, pérdida de contexto y demoras (Sommerville, 2016).</w:t>
      </w:r>
    </w:p>
    <w:p w:rsidR="00000000" w:rsidDel="00000000" w:rsidP="00000000" w:rsidRDefault="00000000" w:rsidRPr="00000000" w14:paraId="0000001D">
      <w:pPr>
        <w:spacing w:after="120" w:line="300" w:lineRule="auto"/>
        <w:jc w:val="both"/>
        <w:rPr/>
      </w:pPr>
      <w:r w:rsidDel="00000000" w:rsidR="00000000" w:rsidRPr="00000000">
        <w:rPr>
          <w:rtl w:val="0"/>
        </w:rPr>
        <w:t xml:space="preserve">Los modelos de lenguaje de gran escala (LLMs) han demostrado capacidades notables en generación de código y comprensión de especificaciones técnicas (Chen et al., 2021). Más recientemente, el paradigma de agentes de IA —sistemas autónomos capaces de planificar, ejecutar acciones y utilizar herramientas— ha abierto la posibilidad de automatizar buena parte del ciclo de desarrollo a partir de especificaciones en lenguaje natural (Wang et al., 2024). Frameworks como MetaGPT (Hong et al., 2024), ChatDev (Qian et al., 2024), SWE-Agent (Yang et al., 2024) y, más recientemente, AgentMesh (2025), han mostrado resultados prometedores en la automatización de tareas de ingeniería de software.</w:t>
      </w:r>
    </w:p>
    <w:p w:rsidR="00000000" w:rsidDel="00000000" w:rsidP="00000000" w:rsidRDefault="00000000" w:rsidRPr="00000000" w14:paraId="0000001E">
      <w:pPr>
        <w:spacing w:after="120" w:line="300" w:lineRule="auto"/>
        <w:jc w:val="both"/>
        <w:rPr/>
      </w:pPr>
      <w:r w:rsidDel="00000000" w:rsidR="00000000" w:rsidRPr="00000000">
        <w:rPr>
          <w:rtl w:val="0"/>
        </w:rPr>
        <w:t xml:space="preserve">Las evaluaciones empíricas existentes, sin embargo, se concentran en dos extremos: por un lado, miden la capacidad bruta de los modelos sobre benchmarks de propósito general (HumanEval, MBPP, SoftwareDev) compuestos en su mayoría por mini-juegos, procesamiento de imágenes y aplicaciones CRUD; por otro, comparan frameworks de orquestación entre sí. Existe en cambio un vacío empírico sobre una pregunta de orden más práctico: dado un pipeline de agentes ya elegido, ¿cuánto impacta en la calidad del código generado la configuración del pipeline —en particular, la elección del modelo subyacente y la disponibilidad de conocimiento de dominio específico— cuando se aplica a un sistema técnicamente exigente? Este vacío es especialmente pronunciado en dominios con estándares formales consolidados, donde el conocimiento de dominio es discreto, verificable y susceptible de ser inyectado al agente como base de conocimiento.</w:t>
      </w:r>
    </w:p>
    <w:p w:rsidR="00000000" w:rsidDel="00000000" w:rsidP="00000000" w:rsidRDefault="00000000" w:rsidRPr="00000000" w14:paraId="0000001F">
      <w:pPr>
        <w:spacing w:after="120" w:line="300" w:lineRule="auto"/>
        <w:jc w:val="both"/>
        <w:rPr/>
      </w:pPr>
      <w:r w:rsidDel="00000000" w:rsidR="00000000" w:rsidRPr="00000000">
        <w:rPr>
          <w:rtl w:val="0"/>
        </w:rPr>
        <w:t xml:space="preserve">Este trabajo se propone abordar ese vacío mediante un estudio comparativo controlado sobre un caso de estudio concreto: el desarrollo de un exchange de criptomonedas simplificado, con una capa de integración on-chain mínima que requiere la aplicación de estándares formales del ecosistema (BIPs, EIPs). Se evalúa cómo varían las métricas de calidad del código generado al cruzar dos factores: la elección del modelo (dos LLMs comerciales frontier) y el acceso del pipeline a una base de conocimiento de dominio (sin RAG vs. con RAG sobre un corpus de BIPs y EIPs). La elección del dominio responde, además, a la experiencia profesional del alumno en el sector cripto (Ripio), que provee el contexto necesario para definir especificaciones realistas y criterios de aceptación significativos.</w:t>
      </w:r>
    </w:p>
    <w:p w:rsidR="00000000" w:rsidDel="00000000" w:rsidP="00000000" w:rsidRDefault="00000000" w:rsidRPr="00000000" w14:paraId="00000020">
      <w:pPr>
        <w:spacing w:after="120" w:line="300" w:lineRule="auto"/>
        <w:jc w:val="both"/>
        <w:rPr/>
      </w:pPr>
      <w:r w:rsidDel="00000000" w:rsidR="00000000" w:rsidRPr="00000000">
        <w:rPr>
          <w:rtl w:val="0"/>
        </w:rPr>
        <w:t xml:space="preserve">El foco del trabajo no está en construir un exchange competitivo en performance, sino en producir evidencia empírica reproducible sobre el efecto diferencial de cada factor de configuración del pipeline en la calidad del código que genera.</w:t>
      </w:r>
    </w:p>
    <w:p w:rsidR="00000000" w:rsidDel="00000000" w:rsidP="00000000" w:rsidRDefault="00000000" w:rsidRPr="00000000" w14:paraId="00000021">
      <w:pPr>
        <w:pStyle w:val="Heading2"/>
        <w:spacing w:after="140" w:before="280" w:lineRule="auto"/>
        <w:rPr/>
      </w:pPr>
      <w:r w:rsidDel="00000000" w:rsidR="00000000" w:rsidRPr="00000000">
        <w:rPr>
          <w:b w:val="1"/>
          <w:bCs w:val="1"/>
          <w:sz w:val="26"/>
          <w:szCs w:val="26"/>
          <w:rtl w:val="0"/>
        </w:rPr>
        <w:t xml:space="preserve">Objetivos</w:t>
      </w:r>
      <w:r w:rsidDel="00000000" w:rsidR="00000000" w:rsidRPr="00000000">
        <w:rPr>
          <w:rtl w:val="0"/>
        </w:rPr>
      </w:r>
    </w:p>
    <w:p w:rsidR="00000000" w:rsidDel="00000000" w:rsidP="00000000" w:rsidRDefault="00000000" w:rsidRPr="00000000" w14:paraId="00000022">
      <w:pPr>
        <w:spacing w:after="120" w:line="300" w:lineRule="auto"/>
        <w:jc w:val="both"/>
        <w:rPr/>
      </w:pPr>
      <w:r w:rsidDel="00000000" w:rsidR="00000000" w:rsidRPr="00000000">
        <w:rPr>
          <w:rtl w:val="0"/>
        </w:rPr>
        <w:t xml:space="preserve">El objetivo principal de esta tesina es evaluar, mediante un estudio comparativo controlado con diseño factorial 2×2, cómo impacta la configuración de un pipeline de agentes de IA en la calidad del código generado para el desarrollo de un exchange de criptomonedas con integración on-chain. Los dos factores de configuración bajo estudio son: la elección del modelo de lenguaje subyacente (dos LLMs comerciales frontier) y el acceso del pipeline a una base de conocimiento de dominio mediante RAG sobre un corpus de BIPs y EIPs.</w:t>
      </w:r>
    </w:p>
    <w:p w:rsidR="00000000" w:rsidDel="00000000" w:rsidP="00000000" w:rsidRDefault="00000000" w:rsidRPr="00000000" w14:paraId="00000023">
      <w:pPr>
        <w:spacing w:after="60" w:before="140" w:lineRule="auto"/>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Relevar el estado del arte en agentes de IA aplicados a ingeniería de software (MetaGPT, ChatDev, SWE-Agent, AgentMesh), frameworks de agentes (Claude Agent SDK, OpenAI Agent SDK), técnicas de Retrieval-Augmented Generation (Lewis et al., 2020), arquitectura de referencia de exchanges centralizados de criptomonedas, y estándares on-chain relevantes (BIPs 32/39/44, EIP-155).</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las especificaciones funcionales y los tests de aceptación del exchange con su capa on-chain mínima, que servirán como insumo y como criterio objetivo de evaluación común a las cuatro condiciones experimentales.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Construir el corpus de BIPs y EIPs que servirá como base de conocimiento para las condiciones con RAG, y configurar los harness de los dos modelos seleccionados (Claude Agent SDK y OpenAI Agent SDK).</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Ejecutar el pipeline cuatro veces sobre las mismas especificaciones, una por cada celda del diseño factorial 2×2 (Modelo A sin RAG, Modelo A con RAG, Modelo B sin RAG, Modelo B con RAG), registrando para cada corrida las métricas definidas y un log clasificado de las intervenciones humanas requeridas.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Analizar comparativamente los resultados, identificando efectos principales del modelo y del RAG, posibles interacciones entre ambos factores, y patrones de fallo asociados a cada configuración.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Discutir las implicancias prácticas para equipos que evalúen adoptar pipelines de agentes de IA en flujos de desarrollo reales con requerimientos de dominio no triviales.</w:t>
      </w:r>
    </w:p>
    <w:p w:rsidR="00000000" w:rsidDel="00000000" w:rsidP="00000000" w:rsidRDefault="00000000" w:rsidRPr="00000000" w14:paraId="0000002A">
      <w:pPr>
        <w:pStyle w:val="Heading2"/>
        <w:spacing w:after="140" w:before="280" w:lineRule="auto"/>
        <w:rPr/>
      </w:pPr>
      <w:r w:rsidDel="00000000" w:rsidR="00000000" w:rsidRPr="00000000">
        <w:rPr>
          <w:b w:val="1"/>
          <w:bCs w:val="1"/>
          <w:sz w:val="26"/>
          <w:szCs w:val="26"/>
          <w:rtl w:val="0"/>
        </w:rPr>
        <w:t xml:space="preserve">Marco metodológico</w:t>
      </w:r>
      <w:r w:rsidDel="00000000" w:rsidR="00000000" w:rsidRPr="00000000">
        <w:rPr>
          <w:rtl w:val="0"/>
        </w:rPr>
      </w:r>
    </w:p>
    <w:p w:rsidR="00000000" w:rsidDel="00000000" w:rsidP="00000000" w:rsidRDefault="00000000" w:rsidRPr="00000000" w14:paraId="0000002B">
      <w:pPr>
        <w:spacing w:after="120" w:line="300" w:lineRule="auto"/>
        <w:jc w:val="both"/>
        <w:rPr/>
      </w:pPr>
      <w:r w:rsidDel="00000000" w:rsidR="00000000" w:rsidRPr="00000000">
        <w:rPr>
          <w:rtl w:val="0"/>
        </w:rPr>
        <w:t xml:space="preserve">El trabajo se enmarca en Design Science Research (Hevner et al., 2004), entendida como la construcción y evaluación de un artefacto —en este caso, una serie de cuatro corridas del pipeline de agentes bajo distintas configuraciones— para producir conocimiento accionable sobre el dominio bajo estudio. Sobre ese paraguas se monta un diseño experimental factorial 2×2 con asignación cruzada de los dos factores independientes.</w:t>
      </w:r>
    </w:p>
    <w:p w:rsidR="00000000" w:rsidDel="00000000" w:rsidP="00000000" w:rsidRDefault="00000000" w:rsidRPr="00000000" w14:paraId="0000002C">
      <w:pPr>
        <w:spacing w:after="60" w:before="140" w:lineRule="auto"/>
        <w:rPr/>
      </w:pPr>
      <w:r w:rsidDel="00000000" w:rsidR="00000000" w:rsidRPr="00000000">
        <w:rPr>
          <w:b w:val="1"/>
          <w:bCs w:val="1"/>
          <w:rtl w:val="0"/>
        </w:rPr>
        <w:t xml:space="preserve">Variables independientes (factores)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del LLM: Modelo A (Claude, vía Claude Agent SDK) vs. Modelo B (GPT, vía OpenAI Agent SDK).</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Acceso a conocimiento de dominio: sin RAG (configuración out-of-the-box) vs. con RAG sobre un corp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curado de BIPs y EIPs relevantes.</w:t>
      </w:r>
      <w:r w:rsidDel="00000000" w:rsidR="00000000" w:rsidRPr="00000000">
        <w:rPr>
          <w:rtl w:val="0"/>
        </w:rPr>
      </w:r>
    </w:p>
    <w:p w:rsidR="00000000" w:rsidDel="00000000" w:rsidP="00000000" w:rsidRDefault="00000000" w:rsidRPr="00000000" w14:paraId="0000002F">
      <w:pPr>
        <w:spacing w:after="60" w:before="140" w:lineRule="auto"/>
        <w:rPr>
          <w:b w:val="1"/>
          <w:bCs w:val="1"/>
        </w:rPr>
      </w:pPr>
      <w:r w:rsidDel="00000000" w:rsidR="00000000" w:rsidRPr="00000000">
        <w:rPr>
          <w:b w:val="1"/>
          <w:bCs w:val="1"/>
          <w:rtl w:val="0"/>
        </w:rPr>
        <w:t xml:space="preserve">Variables dependientes (métricas de calidad del código generado)</w:t>
      </w:r>
      <w:r w:rsidDel="00000000" w:rsidR="00000000" w:rsidRPr="00000000">
        <w:rPr>
          <w:rtl w:val="0"/>
        </w:rPr>
      </w:r>
    </w:p>
    <w:p w:rsidR="00000000" w:rsidDel="00000000" w:rsidP="00000000" w:rsidRDefault="00000000" w:rsidRPr="00000000" w14:paraId="00000030">
      <w:pPr>
        <w:spacing w:after="60" w:before="140" w:lineRule="auto"/>
        <w:rPr/>
      </w:pPr>
      <w:r w:rsidDel="00000000" w:rsidR="00000000" w:rsidRPr="00000000">
        <w:rPr>
          <w:rtl w:val="0"/>
        </w:rPr>
        <w:t xml:space="preserve">La evaluación contempla dos roles del agente. En el rol de desarrollador, el agente genera el código de los componentes a partir de las especificaciones, y sobre ese código se miden las métricas listadas a continuación. En el rol de revisor, se evalúa de manera complementaria la calidad de las respuestas del agente al revisar código existente, mediante un análisis de carácter más cualitativo.</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Tasa de tests de aceptación superados, calculada como el cociente entre los tests aprobados y el total definido previamente, desagregada por componente.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diferencia de los tests de integraci</w:t>
      </w:r>
      <w:r w:rsidDel="00000000" w:rsidR="00000000" w:rsidRPr="00000000">
        <w:rPr>
          <w:rtl w:val="0"/>
        </w:rPr>
        <w:t xml:space="preserve">ón, que se definen como código, los tests de aceptación se especifican en lenguaje natural como criterios de aceptación de las Historias de Usuario y son definidos por el tesista con anterioridad a la generación de código, de modo que operan como un conjunto de validación (holdout) que el modelo codificador no puede modificar ni alterar.</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Cantidad y categorización de las intervenciones humanas requeridas durante la corrida, clasificadas según su causa raíz.</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Tasa de alucinaciones específicas de dominio: estándares inexistentes referenciados, números de EIP/BIP inventados o desactualizados, formatos de derivación de claves incorrectos.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Métricas estáticas de calidad de código: complejidad ciclomática promedio, violaciones de linting, cobertura efectiva de tests.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Adherencia a los estándares de dominio aplicables en cada artefacto, cuando corresponda.</w:t>
      </w:r>
    </w:p>
    <w:p w:rsidR="00000000" w:rsidDel="00000000" w:rsidP="00000000" w:rsidRDefault="00000000" w:rsidRPr="00000000" w14:paraId="00000036">
      <w:pPr>
        <w:spacing w:after="60" w:before="140" w:lineRule="auto"/>
        <w:rPr/>
      </w:pPr>
      <w:r w:rsidDel="00000000" w:rsidR="00000000" w:rsidRPr="00000000">
        <w:rPr>
          <w:b w:val="1"/>
          <w:bCs w:val="1"/>
          <w:rtl w:val="0"/>
        </w:rPr>
        <w:t xml:space="preserve">Variables controladas</w:t>
      </w:r>
      <w:r w:rsidDel="00000000" w:rsidR="00000000" w:rsidRPr="00000000">
        <w:rPr>
          <w:rtl w:val="0"/>
        </w:rPr>
      </w:r>
    </w:p>
    <w:p w:rsidR="00000000" w:rsidDel="00000000" w:rsidP="00000000" w:rsidRDefault="00000000" w:rsidRPr="00000000" w14:paraId="00000037">
      <w:pPr>
        <w:spacing w:after="120" w:line="300" w:lineRule="auto"/>
        <w:jc w:val="both"/>
        <w:rPr/>
      </w:pPr>
      <w:r w:rsidDel="00000000" w:rsidR="00000000" w:rsidRPr="00000000">
        <w:rPr>
          <w:rtl w:val="0"/>
        </w:rPr>
        <w:t xml:space="preserve">Se mantienen constantes a lo largo de las cuatro corridas: el caso de estudio, las especificaciones detalladas, los tests de aceptación, el corpus utilizado en las condiciones con RAG, el evaluador humano y los criterios de intervención.</w:t>
      </w:r>
    </w:p>
    <w:p w:rsidR="00000000" w:rsidDel="00000000" w:rsidP="00000000" w:rsidRDefault="00000000" w:rsidRPr="00000000" w14:paraId="00000038">
      <w:pPr>
        <w:spacing w:after="60" w:before="140" w:lineRule="auto"/>
        <w:rPr/>
      </w:pPr>
      <w:r w:rsidDel="00000000" w:rsidR="00000000" w:rsidRPr="00000000">
        <w:rPr>
          <w:b w:val="1"/>
          <w:bCs w:val="1"/>
          <w:rtl w:val="0"/>
        </w:rPr>
        <w:t xml:space="preserve">Categorías de causa raíz para la clasificación de intervenciones</w:t>
      </w:r>
      <w:r w:rsidDel="00000000" w:rsidR="00000000" w:rsidRPr="00000000">
        <w:rPr>
          <w:rtl w:val="0"/>
        </w:rPr>
      </w:r>
    </w:p>
    <w:p w:rsidR="00000000" w:rsidDel="00000000" w:rsidP="00000000" w:rsidRDefault="00000000" w:rsidRPr="00000000" w14:paraId="00000039">
      <w:pPr>
        <w:spacing w:after="120" w:line="300" w:lineRule="auto"/>
        <w:jc w:val="both"/>
        <w:rPr/>
      </w:pPr>
      <w:r w:rsidDel="00000000" w:rsidR="00000000" w:rsidRPr="00000000">
        <w:rPr>
          <w:rtl w:val="0"/>
        </w:rPr>
        <w:t xml:space="preserve">(1) mala interpretación de la especificación; (2) código que no compila o no funciona; (3) pérdida de contexto entre etapas o componentes; (4) alucinación general del modelo; (5) fallo de integración entre componentes; (6) problemas de UI/UX; (7) errores en lógica financiera o invariantes del matching engine; (8) errores en estándares de dominio on-chain (BIPs/EIPs mal aplicados, inventados o desactualizados).</w:t>
      </w:r>
    </w:p>
    <w:p w:rsidR="00000000" w:rsidDel="00000000" w:rsidP="00000000" w:rsidRDefault="00000000" w:rsidRPr="00000000" w14:paraId="0000003A">
      <w:pPr>
        <w:pStyle w:val="Heading2"/>
        <w:spacing w:after="140" w:before="280" w:lineRule="auto"/>
        <w:rPr/>
      </w:pPr>
      <w:r w:rsidDel="00000000" w:rsidR="00000000" w:rsidRPr="00000000">
        <w:rPr>
          <w:b w:val="1"/>
          <w:bCs w:val="1"/>
          <w:sz w:val="26"/>
          <w:szCs w:val="26"/>
          <w:rtl w:val="0"/>
        </w:rPr>
        <w:t xml:space="preserve">Desarrollo propuesto</w:t>
      </w:r>
      <w:r w:rsidDel="00000000" w:rsidR="00000000" w:rsidRPr="00000000">
        <w:rPr>
          <w:rtl w:val="0"/>
        </w:rPr>
      </w:r>
    </w:p>
    <w:p w:rsidR="00000000" w:rsidDel="00000000" w:rsidP="00000000" w:rsidRDefault="00000000" w:rsidRPr="00000000" w14:paraId="0000003B">
      <w:pPr>
        <w:spacing w:after="60" w:before="140" w:lineRule="auto"/>
        <w:rPr/>
      </w:pPr>
      <w:r w:rsidDel="00000000" w:rsidR="00000000" w:rsidRPr="00000000">
        <w:rPr>
          <w:b w:val="1"/>
          <w:bCs w:val="1"/>
          <w:rtl w:val="0"/>
        </w:rPr>
        <w:t xml:space="preserve">Alcance del caso de estudio</w:t>
      </w:r>
      <w:r w:rsidDel="00000000" w:rsidR="00000000" w:rsidRPr="00000000">
        <w:rPr>
          <w:rtl w:val="0"/>
        </w:rPr>
      </w:r>
    </w:p>
    <w:p w:rsidR="00000000" w:rsidDel="00000000" w:rsidP="00000000" w:rsidRDefault="00000000" w:rsidRPr="00000000" w14:paraId="0000003C">
      <w:pPr>
        <w:spacing w:after="120" w:line="300" w:lineRule="auto"/>
        <w:jc w:val="both"/>
        <w:rPr/>
      </w:pPr>
      <w:r w:rsidDel="00000000" w:rsidR="00000000" w:rsidRPr="00000000">
        <w:rPr>
          <w:rtl w:val="0"/>
        </w:rPr>
        <w:t xml:space="preserve">El caso de estudio es un exchange de criptomonedas centralizado, simplificado a un alcance compatible con un trabajo de tesina y extendido con una capa on-chain mínima sobre una única red de referencia (Ethereum, en red de testing) para que el corpus de BIPs y EIPs tenga un dominio de aplicación real dentro del sistema.</w:t>
      </w:r>
    </w:p>
    <w:p w:rsidR="00000000" w:rsidDel="00000000" w:rsidP="00000000" w:rsidRDefault="00000000" w:rsidRPr="00000000" w14:paraId="0000003D">
      <w:pPr>
        <w:spacing w:after="120" w:line="300" w:lineRule="auto"/>
        <w:jc w:val="both"/>
        <w:rPr/>
      </w:pPr>
      <w:r w:rsidDel="00000000" w:rsidR="00000000" w:rsidRPr="00000000">
        <w:rPr>
          <w:rtl w:val="0"/>
        </w:rPr>
        <w:t xml:space="preserve">Por fuera del alcance quedan: cumplimiento regulatorio (KYC/AML), múltiples redes on-chain en simultáneo, tipos de orden avanzados (stop, OCO, iceberg), múltiples pares de trading, alta disponibilidad y baja latencia industrial, y mecanismos de seguridad propios de un exchange en producción real.</w:t>
      </w:r>
    </w:p>
    <w:p w:rsidR="00000000" w:rsidDel="00000000" w:rsidP="00000000" w:rsidRDefault="00000000" w:rsidRPr="00000000" w14:paraId="0000003E">
      <w:pPr>
        <w:spacing w:after="120" w:line="300" w:lineRule="auto"/>
        <w:jc w:val="both"/>
        <w:rPr/>
      </w:pPr>
      <w:r w:rsidDel="00000000" w:rsidR="00000000" w:rsidRPr="00000000">
        <w:rPr>
          <w:b w:val="1"/>
          <w:bCs w:val="1"/>
          <w:rtl w:val="0"/>
        </w:rPr>
        <w:t xml:space="preserve">Dentro del alcance quedan los siguientes componentes: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Matching engine: motor de matching para un único par de trading, con órdenes limit y market, prioridad precio-tiempo, persistencia del orderbook y emisión de eventos de ejecución.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Reglas de negocio: gestión de cuentas, balances, cálculo de fees maker/taker, settlement interno atómico al momento del match, validaciones de fondos disponibles y exposición de la API HTTP/WebSocket que consumen los clientes.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on-chain: generación y derivación de direcciones de depósito siguiendo BIP-32/BIP-39/BIP-44 (wallet HD), firma y broadcast de transacciones de retiro on-chain conforme a EIP-155, y detección de depósitos entrantes sobre las direcciones derivadas.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UX Web y Mobile: cliente web (React) y cliente mobile (React Native/Expo) que comparten el mismo backend. Pantallas mínimas: login, vista de trading (orderbook + formulario de orden), órdenes abiertas e historial, balances, depósitos y retiros.</w:t>
      </w:r>
    </w:p>
    <w:p w:rsidR="00000000" w:rsidDel="00000000" w:rsidP="00000000" w:rsidRDefault="00000000" w:rsidRPr="00000000" w14:paraId="00000043">
      <w:pPr>
        <w:spacing w:after="60" w:before="140" w:lineRule="auto"/>
        <w:rPr/>
      </w:pPr>
      <w:r w:rsidDel="00000000" w:rsidR="00000000" w:rsidRPr="00000000">
        <w:rPr>
          <w:b w:val="1"/>
          <w:bCs w:val="1"/>
          <w:rtl w:val="0"/>
        </w:rPr>
        <w:t xml:space="preserve">Fases de desarrollo</w:t>
      </w:r>
      <w:r w:rsidDel="00000000" w:rsidR="00000000" w:rsidRPr="00000000">
        <w:rPr>
          <w:rtl w:val="0"/>
        </w:rPr>
      </w:r>
    </w:p>
    <w:p w:rsidR="00000000" w:rsidDel="00000000" w:rsidP="00000000" w:rsidRDefault="00000000" w:rsidRPr="00000000" w14:paraId="00000044">
      <w:pPr>
        <w:spacing w:after="120" w:line="300" w:lineRule="auto"/>
        <w:jc w:val="both"/>
        <w:rPr/>
      </w:pPr>
      <w:r w:rsidDel="00000000" w:rsidR="00000000" w:rsidRPr="00000000">
        <w:rPr>
          <w:rtl w:val="0"/>
        </w:rPr>
        <w:t xml:space="preserve">El trabajo se organiza en cuatro fases lógicas:</w:t>
      </w:r>
    </w:p>
    <w:p w:rsidR="00000000" w:rsidDel="00000000" w:rsidP="00000000" w:rsidRDefault="00000000" w:rsidRPr="00000000" w14:paraId="00000045">
      <w:pPr>
        <w:spacing w:after="60" w:before="140" w:lineRule="auto"/>
        <w:rPr/>
      </w:pPr>
      <w:r w:rsidDel="00000000" w:rsidR="00000000" w:rsidRPr="00000000">
        <w:rPr>
          <w:b w:val="1"/>
          <w:bCs w:val="1"/>
          <w:rtl w:val="0"/>
        </w:rPr>
        <w:t xml:space="preserve">Fase preparatoria.</w:t>
      </w:r>
      <w:r w:rsidDel="00000000" w:rsidR="00000000" w:rsidRPr="00000000">
        <w:rPr>
          <w:rtl w:val="0"/>
        </w:rPr>
      </w:r>
    </w:p>
    <w:p w:rsidR="00000000" w:rsidDel="00000000" w:rsidP="00000000" w:rsidRDefault="00000000" w:rsidRPr="00000000" w14:paraId="00000046">
      <w:pPr>
        <w:spacing w:after="120" w:line="300" w:lineRule="auto"/>
        <w:jc w:val="both"/>
        <w:rPr/>
      </w:pPr>
      <w:r w:rsidDel="00000000" w:rsidR="00000000" w:rsidRPr="00000000">
        <w:rPr>
          <w:rtl w:val="0"/>
        </w:rPr>
        <w:t xml:space="preserve">Relevamiento del estado del arte, definición de la arquitectura de referencia del exchange (incluyendo la capa on-chain), redacción de las especificaciones detalladas y de los tests de aceptación comunes a las cuatro corridas, construcción del corpus curado de BIPs y EIPs que servirá como base de conocimiento en las condiciones con RAG, e instalación y configuración de los dos harness de agentes (Claude Agent SDK y OpenAI Agent SDK).</w:t>
      </w:r>
    </w:p>
    <w:p w:rsidR="00000000" w:rsidDel="00000000" w:rsidP="00000000" w:rsidRDefault="00000000" w:rsidRPr="00000000" w14:paraId="00000047">
      <w:pPr>
        <w:spacing w:after="120" w:line="300" w:lineRule="auto"/>
        <w:jc w:val="both"/>
        <w:rPr>
          <w:b w:val="1"/>
          <w:bCs w:val="1"/>
        </w:rPr>
      </w:pPr>
      <w:r w:rsidDel="00000000" w:rsidR="00000000" w:rsidRPr="00000000">
        <w:rPr>
          <w:b w:val="1"/>
          <w:bCs w:val="1"/>
          <w:rtl w:val="0"/>
        </w:rPr>
        <w:t xml:space="preserve">Fase de especificación de requerimientos.</w:t>
      </w:r>
    </w:p>
    <w:p w:rsidR="00000000" w:rsidDel="00000000" w:rsidP="00000000" w:rsidRDefault="00000000" w:rsidRPr="00000000" w14:paraId="00000048">
      <w:pPr>
        <w:spacing w:after="120" w:line="300" w:lineRule="auto"/>
        <w:jc w:val="both"/>
        <w:rPr/>
      </w:pPr>
      <w:r w:rsidDel="00000000" w:rsidR="00000000" w:rsidRPr="00000000">
        <w:rPr>
          <w:rtl w:val="0"/>
        </w:rPr>
        <w:t xml:space="preserve">Documentación detallada de los requerimientos funcionales del caso de estudio, especificando con precisión el comportamiento esperado de cada componente: qué debe hacer el matching engine (tipos de órdenes, prioridad precio-tiempo, gestión del orderbook y emisión de eventos), las reglas de negocio (cuentas, balances, fees, settlement y validaciones), la capa on-chain (derivación de direcciones, firma y broadcast de transacciones, detección de depósitos) y las interfaces web y mobile. Estos requerimientos se formalizan como Historias de Usuario con sus criterios de aceptación asociados, y constituyen la base sobre la que se redactan las especificaciones y los tests de aceptación utilizados en las cuatro corridas.</w:t>
      </w:r>
    </w:p>
    <w:p w:rsidR="00000000" w:rsidDel="00000000" w:rsidP="00000000" w:rsidRDefault="00000000" w:rsidRPr="00000000" w14:paraId="00000049">
      <w:pPr>
        <w:spacing w:after="60" w:before="140" w:lineRule="auto"/>
        <w:rPr/>
      </w:pPr>
      <w:r w:rsidDel="00000000" w:rsidR="00000000" w:rsidRPr="00000000">
        <w:rPr>
          <w:b w:val="1"/>
          <w:bCs w:val="1"/>
          <w:rtl w:val="0"/>
        </w:rPr>
        <w:t xml:space="preserve">Fase de ejecución comparativa.</w:t>
      </w:r>
      <w:r w:rsidDel="00000000" w:rsidR="00000000" w:rsidRPr="00000000">
        <w:rPr>
          <w:rtl w:val="0"/>
        </w:rPr>
      </w:r>
    </w:p>
    <w:p w:rsidR="00000000" w:rsidDel="00000000" w:rsidP="00000000" w:rsidRDefault="00000000" w:rsidRPr="00000000" w14:paraId="0000004A">
      <w:pPr>
        <w:spacing w:after="120" w:line="300" w:lineRule="auto"/>
        <w:jc w:val="both"/>
        <w:rPr/>
      </w:pPr>
      <w:r w:rsidDel="00000000" w:rsidR="00000000" w:rsidRPr="00000000">
        <w:rPr>
          <w:rtl w:val="0"/>
        </w:rPr>
        <w:t xml:space="preserve">El pipeline se ejecuta cuatro veces sobre las mismas especificaciones, una por cada celda del diseño factorial 2×2: (1) Modelo A sin RAG, (2) Modelo A con RAG, (3) Modelo B sin RAG, (4) Modelo B con RAG. Cada corrida construye, en orden, el backend del exchange (matching engine, reglas de negocio y capa on-chain) y los clientes web y mobile. Para cada corrida se registran las métricas dependientes y el log clasificado de intervenciones humanas según las categorías definidas en el marco metodológico.</w:t>
      </w:r>
    </w:p>
    <w:p w:rsidR="00000000" w:rsidDel="00000000" w:rsidP="00000000" w:rsidRDefault="00000000" w:rsidRPr="00000000" w14:paraId="0000004B">
      <w:pPr>
        <w:spacing w:after="60" w:before="140" w:lineRule="auto"/>
        <w:rPr/>
      </w:pPr>
      <w:r w:rsidDel="00000000" w:rsidR="00000000" w:rsidRPr="00000000">
        <w:rPr>
          <w:b w:val="1"/>
          <w:bCs w:val="1"/>
          <w:rtl w:val="0"/>
        </w:rPr>
        <w:t xml:space="preserve">Fase de análisis y cierre.</w:t>
      </w:r>
      <w:r w:rsidDel="00000000" w:rsidR="00000000" w:rsidRPr="00000000">
        <w:rPr>
          <w:rtl w:val="0"/>
        </w:rPr>
      </w:r>
    </w:p>
    <w:p w:rsidR="00000000" w:rsidDel="00000000" w:rsidP="00000000" w:rsidRDefault="00000000" w:rsidRPr="00000000" w14:paraId="0000004C">
      <w:pPr>
        <w:spacing w:after="120" w:line="300" w:lineRule="auto"/>
        <w:jc w:val="both"/>
        <w:rPr/>
      </w:pPr>
      <w:r w:rsidDel="00000000" w:rsidR="00000000" w:rsidRPr="00000000">
        <w:rPr>
          <w:rtl w:val="0"/>
        </w:rPr>
        <w:t xml:space="preserve">Análisis comparativo de las cuatro corridas: efectos principales del factor modelo y del factor RAG sobre cada métrica dependiente, interacciones entre ambos factores, e identificación de patrones cualitativos por categoría de intervención. Redacción del documento final de la tesina.</w:t>
      </w:r>
    </w:p>
    <w:p w:rsidR="00000000" w:rsidDel="00000000" w:rsidP="00000000" w:rsidRDefault="00000000" w:rsidRPr="00000000" w14:paraId="0000004D">
      <w:pPr>
        <w:pStyle w:val="Heading2"/>
        <w:spacing w:after="140" w:before="280" w:lineRule="auto"/>
        <w:rPr/>
      </w:pPr>
      <w:r w:rsidDel="00000000" w:rsidR="00000000" w:rsidRPr="00000000">
        <w:rPr>
          <w:b w:val="1"/>
          <w:bCs w:val="1"/>
          <w:sz w:val="26"/>
          <w:szCs w:val="26"/>
          <w:rtl w:val="0"/>
        </w:rPr>
        <w:t xml:space="preserve">Resultados esperados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relevamiento del estado del arte que cubra: agentes de IA para desarrollo de software, frameworks de agentes, técnicas de Retrieval-Augmented Generation, arquitectura de referencia de exchanges centralizados de criptomonedas y estándares on-chain (BIPs/EIPs) relevantes.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Cuatro implementaciones del exchange (una por celda del diseño factorial 2×2) generadas por el pipeline de agentes bajo configuraciones controladas, junto con sus tests y su registro de intervenciones.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dataset comparativo de métricas de calidad del código generado (tasa de tests superados, intervenciones por causa raíz, alucinaciones de dominio, complejidad y cobertura) para cada una de las cuatro condiciones experimentales.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análisis comparativo que cuantifique los efectos principales del factor modelo y del factor RAG, identifique interacciones entre ambos factores y describa los patrones cualitativos de fallo asociados a cada configuración.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 y recomendaciones prácticas para equipos que evalúen adoptar pipelines de agentes de IA en dominios técnicos con estándares formales, sobre cuándo conviene invertir en inyección de conocimiento de dominio y cuándo la elección del modelo es el factor dominante.</w:t>
      </w:r>
    </w:p>
    <w:p w:rsidR="00000000" w:rsidDel="00000000" w:rsidP="00000000" w:rsidRDefault="00000000" w:rsidRPr="00000000" w14:paraId="00000053">
      <w:pPr>
        <w:pStyle w:val="Heading2"/>
        <w:spacing w:after="140" w:before="280" w:lineRule="auto"/>
        <w:rPr/>
      </w:pPr>
      <w:r w:rsidDel="00000000" w:rsidR="00000000" w:rsidRPr="00000000">
        <w:rPr>
          <w:b w:val="1"/>
          <w:bCs w:val="1"/>
          <w:sz w:val="26"/>
          <w:szCs w:val="26"/>
          <w:rtl w:val="0"/>
        </w:rPr>
        <w:t xml:space="preserve">Referencias bibliográficas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(2025). Claude Agent SDK — Documentación oficial. Disponible en: </w:t>
      </w:r>
      <w:hyperlink r:id="rId7">
        <w:r w:rsidDel="00000000" w:rsidR="00000000" w:rsidRPr="00000000">
          <w:rPr>
            <w:rFonts w:ascii="Arial" w:cs="Arial" w:eastAsia="Arial" w:hAnsi="Arial"/>
            <w:b w:val="0"/>
            <w:bCs w:val="0"/>
            <w:i w:val="0"/>
            <w:iCs w:val="0"/>
            <w:smallCaps w:val="0"/>
            <w:strike w:val="0"/>
            <w:color w:val="0563c1"/>
            <w:sz w:val="22"/>
            <w:szCs w:val="22"/>
            <w:u w:val="single"/>
            <w:shd w:fill="auto" w:val="clear"/>
            <w:vertAlign w:val="baseline"/>
            <w:rtl w:val="0"/>
          </w:rPr>
          <w:t xml:space="preserve">https://docs.claude.com/en/api/agent-sdk/overview</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Chen, M., Tworek, J., Jun, H., et al. (2021). Evaluating large language models trained on code. arXiv preprint arXiv:2107.03374.</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Harris, L. (2003). Trading and Exchanges: Market Microstructure for Practitioners. Oxford University Press.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Hevner, A. R., March, S. T., Park, J., &amp; Ram, S. (2004). Design science in information systems research. MIS Quarterly, 28(1), 75–105.</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Hong, S., Zhuge, M., Chen, J., et al. (2024). MetaGPT: Meta programming for a multi-agent collaborative framework. ICLR 2024.</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Khanzadeh, S. (2025). AgentMesh: A Cooperative Multi-Agent Generative AI Framework for Software Development Automation. Toronto Metropolitan University. arXiv:</w:t>
      </w:r>
      <w:hyperlink r:id="rId8">
        <w:r w:rsidDel="00000000" w:rsidR="00000000" w:rsidRPr="00000000">
          <w:rPr>
            <w:rFonts w:ascii="Arial" w:cs="Arial" w:eastAsia="Arial" w:hAnsi="Arial"/>
            <w:b w:val="0"/>
            <w:bCs w:val="0"/>
            <w:i w:val="0"/>
            <w:iCs w:val="0"/>
            <w:smallCaps w:val="0"/>
            <w:strike w:val="0"/>
            <w:color w:val="0563c1"/>
            <w:sz w:val="22"/>
            <w:szCs w:val="22"/>
            <w:u w:val="single"/>
            <w:shd w:fill="auto" w:val="clear"/>
            <w:vertAlign w:val="baseline"/>
            <w:rtl w:val="0"/>
          </w:rPr>
          <w:t xml:space="preserve">2507.19902</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Lewis, P., Perez, E., Piktus, A., et al. (2020). Retrieval-Augmented Generation for Knowledge-Intensive NLP Tasks. NeurIPS 2020. arXiv:2005.11401.</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(2025). OpenAI Agents SDK — Documentación oficial. Disponible en: </w:t>
      </w:r>
      <w:hyperlink r:id="rId9">
        <w:r w:rsidDel="00000000" w:rsidR="00000000" w:rsidRPr="00000000">
          <w:rPr>
            <w:rFonts w:ascii="Arial" w:cs="Arial" w:eastAsia="Arial" w:hAnsi="Arial"/>
            <w:b w:val="0"/>
            <w:bCs w:val="0"/>
            <w:i w:val="0"/>
            <w:iCs w:val="0"/>
            <w:smallCaps w:val="0"/>
            <w:strike w:val="0"/>
            <w:color w:val="0563c1"/>
            <w:sz w:val="22"/>
            <w:szCs w:val="22"/>
            <w:u w:val="single"/>
            <w:shd w:fill="auto" w:val="clear"/>
            <w:vertAlign w:val="baseline"/>
            <w:rtl w:val="0"/>
          </w:rPr>
          <w:t xml:space="preserve">https://openai.github.io/openai-agents-python/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Qian, C., Liu, W., Liu, H., et al. (2024). ChatDev: Communicative agents for software development. Proceedings of the 62nd Annual Meeting of the ACL.</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Sommerville, I. (2016). Software Engineering (10th ed.). Pearson Education.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Wang, L., Ma, C., Feng, X., et al. (2024). A survey on large language model based autonomous agents. Frontiers of Computer Science, 18(6), 186345.</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Wood, G. (2014, con revisiones posteriores). Ethereum: A Secure Decentralised Generalised Transaction Ledger (Yellow Paper).</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Wooldridge, M. (2009). An Introduction to MultiAgent Systems (2nd ed.). John Wiley &amp; Sons.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Wuille, P. (2012). BIP-32: Hierarchical Deterministic Wallets. Bitcoin Improvement Proposals (referencia representativa del corpus utilizado; el trabajo emplea también BIPs 39/44 y EIP-155, entre otros).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Yang, J., Jimenez, C. E., Wettig, A., et al. (2024). SWE-agent: Agent-computer interfaces enable automated software engineering. arXiv preprint arXiv:2405.15793.</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Yin, R. K. (2018). Case Study Research and Applications: Design and Methods (6th ed.). SAGE Publications.</w:t>
      </w:r>
    </w:p>
    <w:sectPr>
      <w:headerReference r:id="rId10" w:type="default"/>
      <w:footerReference r:id="rId1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openai.github.io/openai-agents-pyth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claude.com/en/api/agent-sdk/overview" TargetMode="External"/><Relationship Id="rId8" Type="http://schemas.openxmlformats.org/officeDocument/2006/relationships/hyperlink" Target="https://arxiv.org/abs/2507.199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xmiMqweBPTDi8sAKO4F4zEGemg==">CgMxLjA4AHIhMTctZ2gxMVlJRDhseWhVc2ZmUkNranJQTjg1WUY5djYx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