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1809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0225"/>
                    </a:xfrm>
                    <a:prstGeom prst="rect">
                      <a:avLst/>
                    </a:prstGeom>
                  </pic:spPr>
                </pic:pic>
              </a:graphicData>
            </a:graphic>
          </wp:inline>
        </w:drawing>
      </w:r>
    </w:p>
    <w:p>
      <w:pPr>
        <w:spacing w:after="120" w:before="0"/>
        <w:jc w:val="center"/>
      </w:pPr>
      <w:r>
        <w:rPr>
          <w:rFonts w:ascii="Calibri" w:cs="Calibri" w:eastAsia="Calibri" w:hAnsi="Calibri"/>
          <w:color w:val="555555"/>
          <w:sz w:val="28"/>
          <w:szCs w:val="28"/>
        </w:rPr>
        <w:t xml:space="preserve">SIGeV — Sistema Integral de Gestión Vecinal</w:t>
      </w:r>
    </w:p>
    <w:p>
      <w:pPr>
        <w:spacing w:after="120" w:before="400"/>
        <w:jc w:val="center"/>
      </w:pPr>
      <w:r>
        <w:rPr>
          <w:rFonts w:ascii="Calibri" w:cs="Calibri" w:eastAsia="Calibri" w:hAnsi="Calibri"/>
          <w:b/>
          <w:bCs/>
          <w:color w:val="0079BC"/>
          <w:sz w:val="56"/>
          <w:szCs w:val="56"/>
        </w:rPr>
        <w:t xml:space="preserve">Visión y panorama</w:t>
      </w:r>
    </w:p>
    <w:p>
      <w:pPr>
        <w:spacing w:after="120" w:before="0"/>
        <w:jc w:val="center"/>
      </w:pPr>
      <w:r>
        <w:rPr>
          <w:rFonts w:ascii="Calibri" w:cs="Calibri" w:eastAsia="Calibri" w:hAnsi="Calibri"/>
          <w:color w:val="333333"/>
          <w:sz w:val="32"/>
          <w:szCs w:val="32"/>
        </w:rPr>
        <w:t xml:space="preserve">Qué es SIGeV, cómo está armado y en qué estado está</w:t>
      </w:r>
    </w:p>
    <w:p>
      <w:pPr>
        <w:spacing w:after="120" w:before="200"/>
        <w:jc w:val="center"/>
      </w:pPr>
      <w:r>
        <w:rPr>
          <w:rFonts w:ascii="Calibri" w:cs="Calibri" w:eastAsia="Calibri" w:hAnsi="Calibri"/>
          <w:color w:val="555555"/>
          <w:sz w:val="24"/>
          <w:szCs w:val="24"/>
        </w:rPr>
        <w:t xml:space="preserve">Serie técnica — Documento 1 de 7</w:t>
      </w:r>
    </w:p>
    <w:p>
      <w:pPr>
        <w:spacing w:after="120" w:before="1800"/>
        <w:jc w:val="center"/>
      </w:pPr>
      <w:r>
        <w:rPr>
          <w:rFonts w:ascii="Calibri" w:cs="Calibri" w:eastAsia="Calibri" w:hAnsi="Calibri"/>
          <w:color w:val="555555"/>
          <w:sz w:val="22"/>
          <w:szCs w:val="22"/>
        </w:rPr>
        <w:t xml:space="preserve">Asociación Vecinal del Barrio Ciudadela · Comodoro Rivadavia, Chubut</w:t>
      </w:r>
    </w:p>
    <w:p>
      <w:pPr>
        <w:spacing w:after="120" w:before="0"/>
        <w:jc w:val="center"/>
      </w:pPr>
      <w:r>
        <w:rPr>
          <w:rFonts w:ascii="Calibri" w:cs="Calibri" w:eastAsia="Calibri" w:hAnsi="Calibri"/>
          <w:color w:val="555555"/>
          <w:sz w:val="22"/>
          <w:szCs w:val="22"/>
        </w:rPr>
        <w:t xml:space="preserve">Versión 1.0 · 11/09/2026</w:t>
      </w:r>
    </w:p>
    <w:p>
      <w:pPr>
        <w:sectPr>
          <w:pgSz w:w="11906" w:h="16838" w:orient="portrait"/>
          <w:pgMar w:top="1417" w:right="1417" w:bottom="1417" w:left="1417" w:header="708" w:footer="708" w:gutter="0"/>
          <w:pgNumType/>
          <w:docGrid w:linePitch="360"/>
        </w:sectPr>
      </w:pPr>
    </w:p>
    <w:p>
      <w:pPr>
        <w:pBdr>
          <w:bottom w:val="single" w:color="0079BC" w:sz="8" w:space="4"/>
        </w:pBdr>
        <w:spacing w:after="240"/>
      </w:pPr>
      <w:r>
        <w:rPr>
          <w:rFonts w:ascii="Calibri" w:cs="Calibri" w:eastAsia="Calibri" w:hAnsi="Calibri"/>
          <w:b/>
          <w:bCs/>
          <w:color w:val="0079BC"/>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Antes de empezar</w:t>
      </w:r>
    </w:p>
    <w:p>
      <w:pPr>
        <w:pStyle w:val="Heading2"/>
      </w:pPr>
      <w:r>
        <w:t xml:space="preserve">Para quién es y qué da por sabido</w:t>
      </w:r>
    </w:p>
    <w:p>
      <w:pPr>
        <w:spacing w:after="120"/>
      </w:pPr>
      <w:r>
        <w:t xml:space="preserve">Este documento abre la serie técnica de SIGeV y está escrito para </w:t>
      </w:r>
      <w:r>
        <w:rPr>
          <w:b/>
          <w:bCs/>
        </w:rPr>
        <w:t xml:space="preserve">una persona desarrolladora
que hereda el proyecto</w:t>
      </w:r>
      <w:r>
        <w:t xml:space="preserve"> sin el equipo que lo construyó: alguien que va a tener que corregir un
error, agregar una pantalla o desplegar una versión sin poder preguntarle a nadie por qué las
cosas son como son.</w:t>
      </w:r>
    </w:p>
    <w:p>
      <w:pPr>
        <w:spacing w:after="120"/>
      </w:pPr>
      <w:r>
        <w:t xml:space="preserve">Da por sabido TypeScript, React con componentes de servidor, algún ORM sobre una base relacional
y el vocabulario habitual de una aplicación web. </w:t>
      </w:r>
      <w:r>
        <w:rPr>
          <w:b/>
          <w:bCs/>
        </w:rPr>
        <w:t xml:space="preserve">No</w:t>
      </w:r>
      <w:r>
        <w:t xml:space="preserve"> da por sabido nada del dominio: ni el
estatuto de una asociación civil argentina, ni cómo funciona Mercado Pago, ni qué es un
re-empadronamiento. Todo eso se explica acá o en los documentos que este señala.</w:t>
      </w:r>
    </w:p>
    <w:p>
      <w:pPr>
        <w:spacing w:after="120"/>
      </w:pPr>
      <w:r>
        <w:t xml:space="preserve">La regla que gobierna la serie: </w:t>
      </w:r>
      <w:r>
        <w:rPr>
          <w:b/>
          <w:bCs/>
        </w:rPr>
        <w:t xml:space="preserve">la verdad es el código</w:t>
      </w:r>
      <w:r>
        <w:t xml:space="preserve">. Donde la documentación previa del
repositorio —la carpeta </w:t>
      </w:r>
      <w:r>
        <w:rPr>
          <w:rFonts w:ascii="Consolas" w:cs="Consolas" w:eastAsia="Consolas" w:hAnsi="Consolas"/>
          <w:sz w:val="20"/>
          <w:szCs w:val="20"/>
          <w:shd w:fill="F1F5F9" w:color="auto" w:val="clear"/>
        </w:rPr>
        <w:t xml:space="preserve">docs/</w:t>
      </w:r>
      <w:r>
        <w:t xml:space="preserve">, el archivo de instrucciones del proyecto o el README— diga otra
cosa que lo que hace el programa, estos documentos describen el programa. Las diferencias
detectadas están anotadas aparte, en el archivo de hallazgos, y no se corrigieron en su origen.</w:t>
      </w:r>
    </w:p>
    <w:p>
      <w:pPr>
        <w:pStyle w:val="Heading2"/>
      </w:pPr>
      <w:r>
        <w:t xml:space="preserve">Cómo leer este documento</w:t>
      </w:r>
    </w:p>
    <w:p>
      <w:pPr>
        <w:spacing w:after="120"/>
      </w:pPr>
      <w:r>
        <w:t xml:space="preserve">Los capítulos 1 a 3 son el panorama: qué hace el sistema, para quién y qué pantallas existen. El
capítulo 4 cuenta en qué orden se construyó, que es la mejor forma de entender por qué el código
está repartido como está. El capítulo 5 congela el estado al 11/09/2026: qué está desplegado, con
qué configuración corre y qué queda pendiente. El capítulo 6 explica cómo se trabajó, y el 7 es
la guía de lectura de los otros seis documentos, más un glosario.</w:t>
      </w:r>
    </w:p>
    <w:p>
      <w:pPr>
        <w:spacing w:after="120"/>
      </w:pPr>
      <w:r>
        <w:t xml:space="preserve">Para resolver algo concreto, la tabla del capítulo 7 dice qué documento abrir según la tarea.
Cada capítulo cierra con "Dónde está en el código".</w:t>
      </w:r>
    </w:p>
    <w:p>
      <w:pPr>
        <w:pStyle w:val="Heading1"/>
        <w:pageBreakBefore/>
      </w:pPr>
      <w:r>
        <w:t xml:space="preserve">1. Qué es SIGeV y para quién</w:t>
      </w:r>
    </w:p>
    <w:p>
      <w:pPr>
        <w:pStyle w:val="Heading2"/>
      </w:pPr>
      <w:r>
        <w:t xml:space="preserve">La asociación</w:t>
      </w:r>
    </w:p>
    <w:p>
      <w:pPr>
        <w:spacing w:after="120"/>
      </w:pPr>
      <w:r>
        <w:t xml:space="preserve">SIGeV es la plataforma web de la </w:t>
      </w:r>
      <w:r>
        <w:rPr>
          <w:b/>
          <w:bCs/>
        </w:rPr>
        <w:t xml:space="preserve">Asociación Vecinal del Barrio Ciudadela</w:t>
      </w:r>
      <w:r>
        <w:t xml:space="preserve">, una asociación
civil sin fines de lucro de Comodoro Rivadavia, Chubut, bajo contralor de la Inspección General
de Justicia provincial. Es una entidad chica: el padrón histórico tiene 278 fichas y las
personas que operan el sistema son un puñado de integrantes de la Comisión Directiva.</w:t>
      </w:r>
    </w:p>
    <w:p>
      <w:pPr>
        <w:spacing w:after="120"/>
      </w:pPr>
      <w:r>
        <w:t xml:space="preserve">El estatuto vigente fue </w:t>
      </w:r>
      <w:r>
        <w:rPr>
          <w:b/>
          <w:bCs/>
        </w:rPr>
        <w:t xml:space="preserve">reformado el 15/08/2026</w:t>
      </w:r>
      <w:r>
        <w:t xml:space="preserve"> y la reforma sigue </w:t>
      </w:r>
      <w:r>
        <w:rPr>
          <w:b/>
          <w:bCs/>
        </w:rPr>
        <w:t xml:space="preserve">pendiente de
oficialización</w:t>
      </w:r>
      <w:r>
        <w:t xml:space="preserve"> por el organismo de contralor. Eso no es un detalle administrativo: hay
funcionalidad escrita, probada y apagada esperándola, y una llave de configuración cuyo único
propósito es permitir lanzar el sitio antes de que el organismo se expida.</w:t>
      </w:r>
    </w:p>
    <w:p>
      <w:pPr>
        <w:spacing w:after="120"/>
      </w:pPr>
      <w:r>
        <w:t xml:space="preserve">El primer principio de diseño es que </w:t>
      </w:r>
      <w:r>
        <w:rPr>
          <w:b/>
          <w:bCs/>
        </w:rPr>
        <w:t xml:space="preserve">el estatuto es la especificación</w:t>
      </w:r>
      <w:r>
        <w:t xml:space="preserve">. Cada regla de negocio
cita el artículo del que sale, y esas reglas están numeradas de </w:t>
      </w:r>
      <w:r>
        <w:rPr>
          <w:rFonts w:ascii="Consolas" w:cs="Consolas" w:eastAsia="Consolas" w:hAnsi="Consolas"/>
          <w:sz w:val="20"/>
          <w:szCs w:val="20"/>
          <w:shd w:fill="F1F5F9" w:color="auto" w:val="clear"/>
        </w:rPr>
        <w:t xml:space="preserve">REG-01</w:t>
      </w:r>
      <w:r>
        <w:t xml:space="preserve"> a </w:t>
      </w:r>
      <w:r>
        <w:rPr>
          <w:rFonts w:ascii="Consolas" w:cs="Consolas" w:eastAsia="Consolas" w:hAnsi="Consolas"/>
          <w:sz w:val="20"/>
          <w:szCs w:val="20"/>
          <w:shd w:fill="F1F5F9" w:color="auto" w:val="clear"/>
        </w:rPr>
        <w:t xml:space="preserve">REG-37</w:t>
      </w:r>
      <w:r>
        <w:t xml:space="preserve"> en el
documento de marco estatutario del repositorio. Cuando una restricción parezca arbitraria, lo
más probable es que tenga un número de regla al lado y un artículo detrás. Ante duda de
interpretación, el criterio adoptado fue siempre el más conservador.</w:t>
      </w:r>
    </w:p>
    <w:p>
      <w:pPr>
        <w:pStyle w:val="Heading2"/>
      </w:pPr>
      <w:r>
        <w:t xml:space="preserve">Los cuatro procesos que digitaliza</w:t>
      </w:r>
    </w:p>
    <w:p>
      <w:pPr>
        <w:spacing w:after="120"/>
      </w:pPr>
      <w:r>
        <w:t xml:space="preserve">Los nombres en mayúscula son como los ve el vecino en el sitio.</w:t>
      </w:r>
    </w:p>
    <w:p>
      <w:pPr>
        <w:pStyle w:val="ListParagraph"/>
        <w:numPr>
          <w:ilvl w:val="0"/>
          <w:numId w:val="2"/>
        </w:numPr>
        <w:spacing w:after="60"/>
      </w:pPr>
      <w:r>
        <w:rPr>
          <w:b/>
          <w:bCs/>
        </w:rPr>
        <w:t xml:space="preserve">Asociarse (ASOCIATE).</w:t>
      </w:r>
      <w:r>
        <w:t xml:space="preserve"> Un vecino se asocia desde la web en seis pasos, sube su documento,
elige categoría y paga la cuota de ingreso por Mercado Pago; la Comisión Directiva resuelve
después y asienta el alta en un acta.</w:t>
      </w:r>
    </w:p>
    <w:p>
      <w:pPr>
        <w:pStyle w:val="ListParagraph"/>
        <w:numPr>
          <w:ilvl w:val="0"/>
          <w:numId w:val="2"/>
        </w:numPr>
        <w:spacing w:after="60"/>
      </w:pPr>
      <w:r>
        <w:rPr>
          <w:b/>
          <w:bCs/>
        </w:rPr>
        <w:t xml:space="preserve">Re-empadronarse (REEMPADRONATE).</w:t>
      </w:r>
      <w:r>
        <w:t xml:space="preserve"> El proceso estatutario de depuración del padrón de
socios adherentes (artículos 9° bis y 40): se convoca una cohorte, cada adherente confirma sus
datos, la Comisión valida, quien no responde en plazo causa baja y el libro se cierra.</w:t>
      </w:r>
    </w:p>
    <w:p>
      <w:pPr>
        <w:pStyle w:val="ListParagraph"/>
        <w:numPr>
          <w:ilvl w:val="0"/>
          <w:numId w:val="2"/>
        </w:numPr>
        <w:spacing w:after="60"/>
      </w:pPr>
      <w:r>
        <w:rPr>
          <w:b/>
          <w:bCs/>
        </w:rPr>
        <w:t xml:space="preserve">Pagar y registrar cuotas sociales.</w:t>
      </w:r>
      <w:r>
        <w:t xml:space="preserve"> Débito automático conciliado solo, links de pago, cobro
en efectivo por mostrador, recibos numerados en PDF y una bandeja para el dinero que entra sin
saber de quién es.</w:t>
      </w:r>
    </w:p>
    <w:p>
      <w:pPr>
        <w:pStyle w:val="ListParagraph"/>
        <w:numPr>
          <w:ilvl w:val="0"/>
          <w:numId w:val="2"/>
        </w:numPr>
        <w:spacing w:after="60"/>
      </w:pPr>
      <w:r>
        <w:rPr>
          <w:b/>
          <w:bCs/>
        </w:rPr>
        <w:t xml:space="preserve">Reportes.</w:t>
      </w:r>
      <w:r>
        <w:t xml:space="preserve"> Reclamos e iniciativas de vecinos —socios o no—. Un </w:t>
      </w:r>
      <w:r>
        <w:rPr>
          <w:b/>
          <w:bCs/>
        </w:rPr>
        <w:t xml:space="preserve">reclamo</w:t>
      </w:r>
      <w:r>
        <w:t xml:space="preserve"> se presenta ante
un organismo (el municipio, la cooperativa de servicios públicos u otro); una </w:t>
      </w:r>
      <w:r>
        <w:rPr>
          <w:b/>
          <w:bCs/>
        </w:rPr>
        <w:t xml:space="preserve">iniciativa</w:t>
      </w:r>
      <w:r>
        <w:t xml:space="preserve"> la
trata la Comisión Directiva. La distinción viene del artículo 2 inciso g y del artículo 6, y
atraviesa todos los textos de esa parte del sistema.</w:t>
      </w:r>
    </w:p>
    <w:p>
      <w:pPr>
        <w:spacing w:after="60"/>
      </w:pPr>
    </w:p>
    <w:p>
      <w:pPr>
        <w:spacing w:after="120"/>
      </w:pPr>
      <w:r>
        <w:t xml:space="preserve">Alrededor hay tres superficies más: el sitio público institucional, el panel de administración
para la Comisión Directiva y el panel de autogestión para los socios.</w:t>
      </w:r>
    </w:p>
    <w:p>
      <w:pPr>
        <w:pStyle w:val="Heading2"/>
      </w:pPr>
      <w:r>
        <w:t xml:space="preserve">Los números del dominio</w:t>
      </w:r>
    </w:p>
    <w:p>
      <w:pPr>
        <w:spacing w:after="120"/>
      </w:pPr>
      <w:r>
        <w:t xml:space="preserve">Son chicos, y eso explica decisiones de arquitectura que de otro modo parecerían ingenuas: un
solo proceso, exclusiones mutuas en memoria, una sola base.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097"/>
        <w:gridCol w:w="3975"/>
      </w:tblGrid>
      <w:tr>
        <w:trPr>
          <w:tblHeader/>
        </w:trPr>
        <w:tc>
          <w:tcPr>
            <w:tcW w:type="dxa" w:w="5097"/>
            <w:shd w:fill="DCEBF7" w:color="auto" w:val="clear"/>
            <w:tcMar>
              <w:top w:type="dxa" w:w="60"/>
              <w:left w:type="dxa" w:w="100"/>
              <w:bottom w:type="dxa" w:w="60"/>
              <w:right w:type="dxa" w:w="100"/>
            </w:tcMar>
          </w:tcPr>
          <w:p>
            <w:pPr>
              <w:spacing w:after="0"/>
            </w:pPr>
            <w:r>
              <w:rPr>
                <w:b/>
                <w:bCs/>
              </w:rPr>
              <w:t xml:space="preserve">Magnitud</w:t>
            </w:r>
          </w:p>
        </w:tc>
        <w:tc>
          <w:tcPr>
            <w:tcW w:type="dxa" w:w="3975"/>
            <w:shd w:fill="DCEBF7" w:color="auto" w:val="clear"/>
            <w:tcMar>
              <w:top w:type="dxa" w:w="60"/>
              <w:left w:type="dxa" w:w="100"/>
              <w:bottom w:type="dxa" w:w="60"/>
              <w:right w:type="dxa" w:w="100"/>
            </w:tcMar>
          </w:tcPr>
          <w:p>
            <w:pPr>
              <w:spacing w:after="0"/>
            </w:pPr>
            <w:r>
              <w:rPr>
                <w:b/>
                <w:bCs/>
              </w:rPr>
              <w:t xml:space="preserve">Valor</w:t>
            </w:r>
          </w:p>
        </w:tc>
      </w:tr>
      <w:tr>
        <w:tc>
          <w:tcPr>
            <w:tcW w:type="dxa" w:w="5097"/>
            <w:tcMar>
              <w:top w:type="dxa" w:w="60"/>
              <w:left w:type="dxa" w:w="100"/>
              <w:bottom w:type="dxa" w:w="60"/>
              <w:right w:type="dxa" w:w="100"/>
            </w:tcMar>
          </w:tcPr>
          <w:p>
            <w:pPr>
              <w:spacing w:after="0"/>
            </w:pPr>
            <w:r>
              <w:t xml:space="preserve">Fichas del Libro N° 1 (padrón histórico importado)</w:t>
            </w:r>
          </w:p>
        </w:tc>
        <w:tc>
          <w:tcPr>
            <w:tcW w:type="dxa" w:w="3975"/>
            <w:tcMar>
              <w:top w:type="dxa" w:w="60"/>
              <w:left w:type="dxa" w:w="100"/>
              <w:bottom w:type="dxa" w:w="60"/>
              <w:right w:type="dxa" w:w="100"/>
            </w:tcMar>
          </w:tcPr>
          <w:p>
            <w:pPr>
              <w:spacing w:after="0"/>
            </w:pPr>
            <w:r>
              <w:t xml:space="preserve">278, numeradas de 1 a 306 con 28 huecos</w:t>
            </w:r>
          </w:p>
        </w:tc>
      </w:tr>
      <w:tr>
        <w:tc>
          <w:tcPr>
            <w:tcW w:type="dxa" w:w="5097"/>
            <w:tcMar>
              <w:top w:type="dxa" w:w="60"/>
              <w:left w:type="dxa" w:w="100"/>
              <w:bottom w:type="dxa" w:w="60"/>
              <w:right w:type="dxa" w:w="100"/>
            </w:tcMar>
          </w:tcPr>
          <w:p>
            <w:pPr>
              <w:spacing w:after="0"/>
            </w:pPr>
            <w:r>
              <w:t xml:space="preserve">Socios vigentes al importar</w:t>
            </w:r>
          </w:p>
        </w:tc>
        <w:tc>
          <w:tcPr>
            <w:tcW w:type="dxa" w:w="3975"/>
            <w:tcMar>
              <w:top w:type="dxa" w:w="60"/>
              <w:left w:type="dxa" w:w="100"/>
              <w:bottom w:type="dxa" w:w="60"/>
              <w:right w:type="dxa" w:w="100"/>
            </w:tcMar>
          </w:tcPr>
          <w:p>
            <w:pPr>
              <w:spacing w:after="0"/>
            </w:pPr>
            <w:r>
              <w:t xml:space="preserve">160 (36 activos y 124 adherentes)</w:t>
            </w:r>
          </w:p>
        </w:tc>
      </w:tr>
      <w:tr>
        <w:tc>
          <w:tcPr>
            <w:tcW w:type="dxa" w:w="5097"/>
            <w:tcMar>
              <w:top w:type="dxa" w:w="60"/>
              <w:left w:type="dxa" w:w="100"/>
              <w:bottom w:type="dxa" w:w="60"/>
              <w:right w:type="dxa" w:w="100"/>
            </w:tcMar>
          </w:tcPr>
          <w:p>
            <w:pPr>
              <w:spacing w:after="0"/>
            </w:pPr>
            <w:r>
              <w:t xml:space="preserve">Bajas históricas</w:t>
            </w:r>
          </w:p>
        </w:tc>
        <w:tc>
          <w:tcPr>
            <w:tcW w:type="dxa" w:w="3975"/>
            <w:tcMar>
              <w:top w:type="dxa" w:w="60"/>
              <w:left w:type="dxa" w:w="100"/>
              <w:bottom w:type="dxa" w:w="60"/>
              <w:right w:type="dxa" w:w="100"/>
            </w:tcMar>
          </w:tcPr>
          <w:p>
            <w:pPr>
              <w:spacing w:after="0"/>
            </w:pPr>
            <w:r>
              <w:t xml:space="preserve">118</w:t>
            </w:r>
          </w:p>
        </w:tc>
      </w:tr>
      <w:tr>
        <w:tc>
          <w:tcPr>
            <w:tcW w:type="dxa" w:w="5097"/>
            <w:tcMar>
              <w:top w:type="dxa" w:w="60"/>
              <w:left w:type="dxa" w:w="100"/>
              <w:bottom w:type="dxa" w:w="60"/>
              <w:right w:type="dxa" w:w="100"/>
            </w:tcMar>
          </w:tcPr>
          <w:p>
            <w:pPr>
              <w:spacing w:after="0"/>
            </w:pPr>
            <w:r>
              <w:t xml:space="preserve">Socios con deuda al 21/08/2026</w:t>
            </w:r>
          </w:p>
        </w:tc>
        <w:tc>
          <w:tcPr>
            <w:tcW w:type="dxa" w:w="3975"/>
            <w:tcMar>
              <w:top w:type="dxa" w:w="60"/>
              <w:left w:type="dxa" w:w="100"/>
              <w:bottom w:type="dxa" w:w="60"/>
              <w:right w:type="dxa" w:w="100"/>
            </w:tcMar>
          </w:tcPr>
          <w:p>
            <w:pPr>
              <w:spacing w:after="0"/>
            </w:pPr>
            <w:r>
              <w:t xml:space="preserve">118, con 3076 cuotas impagas</w:t>
            </w:r>
          </w:p>
        </w:tc>
      </w:tr>
      <w:tr>
        <w:tc>
          <w:tcPr>
            <w:tcW w:type="dxa" w:w="5097"/>
            <w:tcMar>
              <w:top w:type="dxa" w:w="60"/>
              <w:left w:type="dxa" w:w="100"/>
              <w:bottom w:type="dxa" w:w="60"/>
              <w:right w:type="dxa" w:w="100"/>
            </w:tcMar>
          </w:tcPr>
          <w:p>
            <w:pPr>
              <w:spacing w:after="0"/>
            </w:pPr>
            <w:r>
              <w:t xml:space="preserve">Socios esperados después del re-empadronamiento</w:t>
            </w:r>
          </w:p>
        </w:tc>
        <w:tc>
          <w:tcPr>
            <w:tcW w:type="dxa" w:w="3975"/>
            <w:tcMar>
              <w:top w:type="dxa" w:w="60"/>
              <w:left w:type="dxa" w:w="100"/>
              <w:bottom w:type="dxa" w:w="60"/>
              <w:right w:type="dxa" w:w="100"/>
            </w:tcMar>
          </w:tcPr>
          <w:p>
            <w:pPr>
              <w:spacing w:after="0"/>
            </w:pPr>
            <w:r>
              <w:t xml:space="preserve">alrededor de 70</w:t>
            </w:r>
          </w:p>
        </w:tc>
      </w:tr>
    </w:tbl>
    <w:p>
      <w:pPr>
        <w:spacing w:after="120"/>
      </w:pPr>
    </w:p>
    <w:p>
      <w:pPr>
        <w:spacing w:after="120"/>
      </w:pPr>
      <w:r>
        <w:t xml:space="preserve">Las cuotas al 01/08/2026 son de $ 6.000 mensuales para la categoría activo (obligatoria) y
$ 3.000 para adherente (voluntaria) y colaborador (obligatoria). Los montos </w:t>
      </w:r>
      <w:r>
        <w:rPr>
          <w:b/>
          <w:bCs/>
        </w:rPr>
        <w:t xml:space="preserve">no</w:t>
      </w:r>
      <w:r>
        <w:t xml:space="preserve"> están en el
código ni salen de Mercado Pago: viven en una tabla local de valores que la Comisión actualiza
desde el panel, con un tope estatutario de cuatro actualizaciones por año (</w:t>
      </w:r>
      <w:r>
        <w:rPr>
          <w:rFonts w:ascii="Consolas" w:cs="Consolas" w:eastAsia="Consolas" w:hAnsi="Consolas"/>
          <w:sz w:val="20"/>
          <w:szCs w:val="20"/>
          <w:shd w:fill="F1F5F9" w:color="auto" w:val="clear"/>
        </w:rPr>
        <w:t xml:space="preserve">REG-34</w:t>
      </w:r>
      <w:r>
        <w:t xml:space="preserve">).</w:t>
      </w:r>
    </w:p>
    <w:p>
      <w:pPr>
        <w:pStyle w:val="Heading2"/>
      </w:pPr>
      <w:r>
        <w:t xml:space="preserve">Qué NO es</w:t>
      </w:r>
    </w:p>
    <w:p>
      <w:pPr>
        <w:pStyle w:val="ListParagraph"/>
        <w:numPr>
          <w:ilvl w:val="0"/>
          <w:numId w:val="3"/>
        </w:numPr>
        <w:spacing w:after="60"/>
      </w:pPr>
      <w:r>
        <w:rPr>
          <w:b/>
          <w:bCs/>
        </w:rPr>
        <w:t xml:space="preserve">No da de alta socios sin resolución de la Comisión.</w:t>
      </w:r>
      <w:r>
        <w:t xml:space="preserve"> Toda alta, baja o cambio de categoría
queda vinculada a un acta; no hay forma de crear un socio suelto.</w:t>
      </w:r>
    </w:p>
    <w:p>
      <w:pPr>
        <w:pStyle w:val="ListParagraph"/>
        <w:numPr>
          <w:ilvl w:val="0"/>
          <w:numId w:val="3"/>
        </w:numPr>
        <w:spacing w:after="60"/>
      </w:pPr>
      <w:r>
        <w:rPr>
          <w:b/>
          <w:bCs/>
        </w:rPr>
        <w:t xml:space="preserve">No es contabilidad.</w:t>
      </w:r>
      <w:r>
        <w:t xml:space="preserve"> No hay plan de cuentas, ni asientos, ni egresos, ni facturación
electrónica ante el organismo fiscal. Sí registra los ingresos que no son de ningún socio
—alquiler del salón, eventos, rifas, donaciones—, porque descartarlos mentía sobre plata que
había entrado; pero es un registro plano y </w:t>
      </w:r>
      <w:r>
        <w:rPr>
          <w:b/>
          <w:bCs/>
        </w:rPr>
        <w:t xml:space="preserve">no emite recibo</w:t>
      </w:r>
      <w:r>
        <w:t xml:space="preserve">, porque la serie numerada de
recibos es la de las cuotas sociales.</w:t>
      </w:r>
    </w:p>
    <w:p>
      <w:pPr>
        <w:pStyle w:val="ListParagraph"/>
        <w:numPr>
          <w:ilvl w:val="0"/>
          <w:numId w:val="3"/>
        </w:numPr>
        <w:spacing w:after="60"/>
      </w:pPr>
      <w:r>
        <w:rPr>
          <w:b/>
          <w:bCs/>
        </w:rPr>
        <w:t xml:space="preserve">No maneja el proceso electoral.</w:t>
      </w:r>
      <w:r>
        <w:t xml:space="preserve"> Exporta el padrón electoral para la Junta Electoral y nada
más.</w:t>
      </w:r>
    </w:p>
    <w:p>
      <w:pPr>
        <w:pStyle w:val="ListParagraph"/>
        <w:numPr>
          <w:ilvl w:val="0"/>
          <w:numId w:val="3"/>
        </w:numPr>
        <w:spacing w:after="60"/>
      </w:pPr>
      <w:r>
        <w:rPr>
          <w:b/>
          <w:bCs/>
        </w:rPr>
        <w:t xml:space="preserve">No almacena datos de tarjetas.</w:t>
      </w:r>
      <w:r>
        <w:t xml:space="preserve"> Todo pago pasa por Mercado Pago; el sistema guarda
identificadores de pago y de suscripción, nunca un medio de pago.</w:t>
      </w:r>
    </w:p>
    <w:p>
      <w:pPr>
        <w:pStyle w:val="ListParagraph"/>
        <w:numPr>
          <w:ilvl w:val="0"/>
          <w:numId w:val="3"/>
        </w:numPr>
        <w:spacing w:after="60"/>
      </w:pPr>
      <w:r>
        <w:rPr>
          <w:b/>
          <w:bCs/>
        </w:rPr>
        <w:t xml:space="preserve">No es un sistema de tickets municipal.</w:t>
      </w:r>
      <w:r>
        <w:t xml:space="preserve"> Reportes es un registro de lo que el vecino planteó
y de lo que la asociación hizo con eso: no promete resolución, no tiene acuerdo de nivel de
servicio y no reemplaza el reclamo directo del vecino ante el organismo.</w:t>
      </w:r>
    </w:p>
    <w:p>
      <w:pPr>
        <w:pStyle w:val="ListParagraph"/>
        <w:numPr>
          <w:ilvl w:val="0"/>
          <w:numId w:val="3"/>
        </w:numPr>
        <w:spacing w:after="60"/>
      </w:pPr>
      <w:r>
        <w:rPr>
          <w:b/>
          <w:bCs/>
        </w:rPr>
        <w:t xml:space="preserve">No ofrece desde la web las categorías cadete, honorario ni vitalicio.</w:t>
      </w:r>
      <w:r>
        <w:t xml:space="preserve"> El modelo las
contempla y el panel puede registrarlas, pero el alta pública no las ofrece porque van por sede
o por asamblea.</w:t>
      </w:r>
    </w:p>
    <w:p>
      <w:pPr>
        <w:spacing w:after="60"/>
      </w:pPr>
    </w:p>
    <w:p>
      <w:pPr>
        <w:pStyle w:val="Heading2"/>
      </w:pPr>
      <w:r>
        <w:t xml:space="preserve">Dónde está en el código</w:t>
      </w:r>
    </w:p>
    <w:p>
      <w:pPr>
        <w:spacing w:after="120"/>
      </w:pPr>
      <w:r>
        <w:t xml:space="preserve">Conviene empezar por </w:t>
      </w:r>
      <w:r>
        <w:rPr>
          <w:rFonts w:ascii="Consolas" w:cs="Consolas" w:eastAsia="Consolas" w:hAnsi="Consolas"/>
          <w:sz w:val="20"/>
          <w:szCs w:val="20"/>
          <w:shd w:fill="F1F5F9" w:color="auto" w:val="clear"/>
        </w:rPr>
        <w:t xml:space="preserve">docs/01-vision-y-alcance.md</w:t>
      </w:r>
      <w:r>
        <w:t xml:space="preserve"> (la visión acordada con el cliente) y
</w:t>
      </w:r>
      <w:r>
        <w:rPr>
          <w:rFonts w:ascii="Consolas" w:cs="Consolas" w:eastAsia="Consolas" w:hAnsi="Consolas"/>
          <w:sz w:val="20"/>
          <w:szCs w:val="20"/>
          <w:shd w:fill="F1F5F9" w:color="auto" w:val="clear"/>
        </w:rPr>
        <w:t xml:space="preserve">docs/02-marco-estatutario.md</w:t>
      </w:r>
      <w:r>
        <w:t xml:space="preserve"> (las 37 reglas numeradas, cada una con su artículo). El esquema
entero está en </w:t>
      </w:r>
      <w:r>
        <w:rPr>
          <w:rFonts w:ascii="Consolas" w:cs="Consolas" w:eastAsia="Consolas" w:hAnsi="Consolas"/>
          <w:sz w:val="20"/>
          <w:szCs w:val="20"/>
          <w:shd w:fill="F1F5F9" w:color="auto" w:val="clear"/>
        </w:rPr>
        <w:t xml:space="preserve">prisma/schema.prisma</w:t>
      </w:r>
      <w:r>
        <w:t xml:space="preserve">. El código de aplicación vive en </w:t>
      </w:r>
      <w:r>
        <w:rPr>
          <w:rFonts w:ascii="Consolas" w:cs="Consolas" w:eastAsia="Consolas" w:hAnsi="Consolas"/>
          <w:sz w:val="20"/>
          <w:szCs w:val="20"/>
          <w:shd w:fill="F1F5F9" w:color="auto" w:val="clear"/>
        </w:rPr>
        <w:t xml:space="preserve">src/</w:t>
      </w:r>
      <w:r>
        <w:t xml:space="preserve">.</w:t>
      </w:r>
    </w:p>
    <w:p>
      <w:pPr>
        <w:pStyle w:val="Heading1"/>
        <w:pageBreakBefore/>
      </w:pPr>
      <w:r>
        <w:t xml:space="preserve">2. Los tres públicos y los tres roles</w:t>
      </w:r>
    </w:p>
    <w:p>
      <w:pPr>
        <w:pStyle w:val="Heading2"/>
      </w:pPr>
      <w:r>
        <w:t xml:space="preserve">Los públicos y las zonas</w:t>
      </w:r>
    </w:p>
    <w:p>
      <w:pPr>
        <w:spacing w:after="120"/>
      </w:pPr>
      <w:r>
        <w:t xml:space="preserve">Atiende a tres públicos que no se solapan en lo que necesitan, y por eso hay tres zonas de
interfaz y tres manuales de usuario distintos.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51"/>
        <w:gridCol w:w="1514"/>
        <w:gridCol w:w="907"/>
        <w:gridCol w:w="5400"/>
      </w:tblGrid>
      <w:tr>
        <w:trPr>
          <w:tblHeader/>
        </w:trPr>
        <w:tc>
          <w:tcPr>
            <w:tcW w:type="dxa" w:w="1251"/>
            <w:shd w:fill="DCEBF7" w:color="auto" w:val="clear"/>
            <w:tcMar>
              <w:top w:type="dxa" w:w="60"/>
              <w:left w:type="dxa" w:w="100"/>
              <w:bottom w:type="dxa" w:w="60"/>
              <w:right w:type="dxa" w:w="100"/>
            </w:tcMar>
          </w:tcPr>
          <w:p>
            <w:pPr>
              <w:spacing w:after="0"/>
            </w:pPr>
            <w:r>
              <w:rPr>
                <w:b/>
                <w:bCs/>
              </w:rPr>
              <w:t xml:space="preserve">Público</w:t>
            </w:r>
          </w:p>
        </w:tc>
        <w:tc>
          <w:tcPr>
            <w:tcW w:type="dxa" w:w="1514"/>
            <w:shd w:fill="DCEBF7" w:color="auto" w:val="clear"/>
            <w:tcMar>
              <w:top w:type="dxa" w:w="60"/>
              <w:left w:type="dxa" w:w="100"/>
              <w:bottom w:type="dxa" w:w="60"/>
              <w:right w:type="dxa" w:w="100"/>
            </w:tcMar>
          </w:tcPr>
          <w:p>
            <w:pPr>
              <w:spacing w:after="0"/>
            </w:pPr>
            <w:r>
              <w:rPr>
                <w:b/>
                <w:bCs/>
              </w:rPr>
              <w:t xml:space="preserve">Zona</w:t>
            </w:r>
          </w:p>
        </w:tc>
        <w:tc>
          <w:tcPr>
            <w:tcW w:type="dxa" w:w="907"/>
            <w:shd w:fill="DCEBF7" w:color="auto" w:val="clear"/>
            <w:tcMar>
              <w:top w:type="dxa" w:w="60"/>
              <w:left w:type="dxa" w:w="100"/>
              <w:bottom w:type="dxa" w:w="60"/>
              <w:right w:type="dxa" w:w="100"/>
            </w:tcMar>
          </w:tcPr>
          <w:p>
            <w:pPr>
              <w:spacing w:after="0"/>
            </w:pPr>
            <w:r>
              <w:rPr>
                <w:b/>
                <w:bCs/>
              </w:rPr>
              <w:t xml:space="preserve">Prefijo</w:t>
            </w:r>
          </w:p>
        </w:tc>
        <w:tc>
          <w:tcPr>
            <w:tcW w:type="dxa" w:w="5400"/>
            <w:shd w:fill="DCEBF7" w:color="auto" w:val="clear"/>
            <w:tcMar>
              <w:top w:type="dxa" w:w="60"/>
              <w:left w:type="dxa" w:w="100"/>
              <w:bottom w:type="dxa" w:w="60"/>
              <w:right w:type="dxa" w:w="100"/>
            </w:tcMar>
          </w:tcPr>
          <w:p>
            <w:pPr>
              <w:spacing w:after="0"/>
            </w:pPr>
            <w:r>
              <w:rPr>
                <w:b/>
                <w:bCs/>
              </w:rPr>
              <w:t xml:space="preserve">Qué hace ahí</w:t>
            </w:r>
          </w:p>
        </w:tc>
      </w:tr>
      <w:tr>
        <w:tc>
          <w:tcPr>
            <w:tcW w:type="dxa" w:w="1251"/>
            <w:tcMar>
              <w:top w:type="dxa" w:w="60"/>
              <w:left w:type="dxa" w:w="100"/>
              <w:bottom w:type="dxa" w:w="60"/>
              <w:right w:type="dxa" w:w="100"/>
            </w:tcMar>
          </w:tcPr>
          <w:p>
            <w:pPr>
              <w:spacing w:after="0"/>
            </w:pPr>
            <w:r>
              <w:t xml:space="preserve">Vecino (socio o no)</w:t>
            </w:r>
          </w:p>
        </w:tc>
        <w:tc>
          <w:tcPr>
            <w:tcW w:type="dxa" w:w="1514"/>
            <w:tcMar>
              <w:top w:type="dxa" w:w="60"/>
              <w:left w:type="dxa" w:w="100"/>
              <w:bottom w:type="dxa" w:w="60"/>
              <w:right w:type="dxa" w:w="100"/>
            </w:tcMar>
          </w:tcPr>
          <w:p>
            <w:pPr>
              <w:spacing w:after="0"/>
            </w:pPr>
            <w:r>
              <w:t xml:space="preserve">sitio público</w:t>
            </w:r>
          </w:p>
        </w:tc>
        <w:tc>
          <w:tcPr>
            <w:tcW w:type="dxa" w:w="907"/>
            <w:tcMar>
              <w:top w:type="dxa" w:w="60"/>
              <w:left w:type="dxa" w:w="100"/>
              <w:bottom w:type="dxa" w:w="60"/>
              <w:right w:type="dxa" w:w="100"/>
            </w:tcMar>
          </w:tcPr>
          <w:p>
            <w:pPr>
              <w:spacing w:after="0"/>
            </w:pPr>
            <w:r>
              <w:t xml:space="preserve">sin prefijo</w:t>
            </w:r>
          </w:p>
        </w:tc>
        <w:tc>
          <w:tcPr>
            <w:tcW w:type="dxa" w:w="5400"/>
            <w:tcMar>
              <w:top w:type="dxa" w:w="60"/>
              <w:left w:type="dxa" w:w="100"/>
              <w:bottom w:type="dxa" w:w="60"/>
              <w:right w:type="dxa" w:w="100"/>
            </w:tcMar>
          </w:tcPr>
          <w:p>
            <w:pPr>
              <w:spacing w:after="0"/>
            </w:pPr>
            <w:r>
              <w:t xml:space="preserve">Se informa, se asocia, se re-empadrona, presenta un reporte, entra a su cuenta</w:t>
            </w:r>
          </w:p>
        </w:tc>
      </w:tr>
      <w:tr>
        <w:tc>
          <w:tcPr>
            <w:tcW w:type="dxa" w:w="1251"/>
            <w:tcMar>
              <w:top w:type="dxa" w:w="60"/>
              <w:left w:type="dxa" w:w="100"/>
              <w:bottom w:type="dxa" w:w="60"/>
              <w:right w:type="dxa" w:w="100"/>
            </w:tcMar>
          </w:tcPr>
          <w:p>
            <w:pPr>
              <w:spacing w:after="0"/>
            </w:pPr>
            <w:r>
              <w:t xml:space="preserve">Socio</w:t>
            </w:r>
          </w:p>
        </w:tc>
        <w:tc>
          <w:tcPr>
            <w:tcW w:type="dxa" w:w="1514"/>
            <w:tcMar>
              <w:top w:type="dxa" w:w="60"/>
              <w:left w:type="dxa" w:w="100"/>
              <w:bottom w:type="dxa" w:w="60"/>
              <w:right w:type="dxa" w:w="100"/>
            </w:tcMar>
          </w:tcPr>
          <w:p>
            <w:pPr>
              <w:spacing w:after="0"/>
            </w:pPr>
            <w:r>
              <w:t xml:space="preserve">panel de socio</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w:t>
            </w:r>
          </w:p>
        </w:tc>
        <w:tc>
          <w:tcPr>
            <w:tcW w:type="dxa" w:w="5400"/>
            <w:tcMar>
              <w:top w:type="dxa" w:w="60"/>
              <w:left w:type="dxa" w:w="100"/>
              <w:bottom w:type="dxa" w:w="60"/>
              <w:right w:type="dxa" w:w="100"/>
            </w:tcMar>
          </w:tcPr>
          <w:p>
            <w:pPr>
              <w:spacing w:after="0"/>
            </w:pPr>
            <w:r>
              <w:t xml:space="preserve">Ve su estado de cuenta, paga, adhiere el débito, actualiza sus datos, pide cambios</w:t>
            </w:r>
          </w:p>
        </w:tc>
      </w:tr>
      <w:tr>
        <w:tc>
          <w:tcPr>
            <w:tcW w:type="dxa" w:w="1251"/>
            <w:tcMar>
              <w:top w:type="dxa" w:w="60"/>
              <w:left w:type="dxa" w:w="100"/>
              <w:bottom w:type="dxa" w:w="60"/>
              <w:right w:type="dxa" w:w="100"/>
            </w:tcMar>
          </w:tcPr>
          <w:p>
            <w:pPr>
              <w:spacing w:after="0"/>
            </w:pPr>
            <w:r>
              <w:t xml:space="preserve">Comisión Directiva</w:t>
            </w:r>
          </w:p>
        </w:tc>
        <w:tc>
          <w:tcPr>
            <w:tcW w:type="dxa" w:w="1514"/>
            <w:tcMar>
              <w:top w:type="dxa" w:w="60"/>
              <w:left w:type="dxa" w:w="100"/>
              <w:bottom w:type="dxa" w:w="60"/>
              <w:right w:type="dxa" w:w="100"/>
            </w:tcMar>
          </w:tcPr>
          <w:p>
            <w:pPr>
              <w:spacing w:after="0"/>
            </w:pPr>
            <w:r>
              <w:t xml:space="preserve">panel de administración</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w:t>
            </w:r>
          </w:p>
        </w:tc>
        <w:tc>
          <w:tcPr>
            <w:tcW w:type="dxa" w:w="5400"/>
            <w:tcMar>
              <w:top w:type="dxa" w:w="60"/>
              <w:left w:type="dxa" w:w="100"/>
              <w:bottom w:type="dxa" w:w="60"/>
              <w:right w:type="dxa" w:w="100"/>
            </w:tcMar>
          </w:tcPr>
          <w:p>
            <w:pPr>
              <w:spacing w:after="0"/>
            </w:pPr>
            <w:r>
              <w:t xml:space="preserve">Resuelve altas, cobra, lleva libros y actas, publica contenido, opera el sistema</w:t>
            </w:r>
          </w:p>
        </w:tc>
      </w:tr>
    </w:tbl>
    <w:p>
      <w:pPr>
        <w:spacing w:after="120"/>
      </w:pPr>
    </w:p>
    <w:p>
      <w:pPr>
        <w:spacing w:after="120"/>
      </w:pPr>
      <w:r>
        <w:t xml:space="preserve">Quien entra a una zona protegida sin el rol correspondiente va a parar a la pantalla de ingreso;
en el panel de administración, una sesión bloqueada ve una barra mínima con el motivo. Las rutas
de datos bajo </w:t>
      </w:r>
      <w:r>
        <w:rPr>
          <w:rFonts w:ascii="Consolas" w:cs="Consolas" w:eastAsia="Consolas" w:hAnsi="Consolas"/>
          <w:sz w:val="20"/>
          <w:szCs w:val="20"/>
          <w:shd w:fill="F1F5F9" w:color="auto" w:val="clear"/>
        </w:rPr>
        <w:t xml:space="preserve">/api</w:t>
      </w:r>
      <w:r>
        <w:t xml:space="preserve"> responden 403 con el motivo, o 404 cuando decir 403 filtraría información.
Después de iniciar sesión, una pantalla derivadora manda a cada persona a su zona según el rol;
quien no tiene ninguno va a la portada.</w:t>
      </w:r>
    </w:p>
    <w:p>
      <w:pPr>
        <w:pStyle w:val="Heading2"/>
      </w:pPr>
      <w:r>
        <w:t xml:space="preserve">Los tres roles</w:t>
      </w:r>
    </w:p>
    <w:p>
      <w:pPr>
        <w:spacing w:after="120"/>
      </w:pPr>
      <w:r>
        <w:t xml:space="preserve">Son tres y son </w:t>
      </w:r>
      <w:r>
        <w:rPr>
          <w:b/>
          <w:bCs/>
        </w:rPr>
        <w:t xml:space="preserve">acumulables</w:t>
      </w:r>
      <w:r>
        <w:t xml:space="preserve">: una persona de la Comisión que además es socia tiene los dos
roles y ve las dos zonas.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2889"/>
        <w:gridCol w:w="5276"/>
      </w:tblGrid>
      <w:tr>
        <w:trPr>
          <w:tblHeader/>
        </w:trPr>
        <w:tc>
          <w:tcPr>
            <w:tcW w:type="dxa" w:w="907"/>
            <w:shd w:fill="DCEBF7" w:color="auto" w:val="clear"/>
            <w:tcMar>
              <w:top w:type="dxa" w:w="60"/>
              <w:left w:type="dxa" w:w="100"/>
              <w:bottom w:type="dxa" w:w="60"/>
              <w:right w:type="dxa" w:w="100"/>
            </w:tcMar>
          </w:tcPr>
          <w:p>
            <w:pPr>
              <w:spacing w:after="0"/>
            </w:pPr>
            <w:r>
              <w:rPr>
                <w:b/>
                <w:bCs/>
              </w:rPr>
              <w:t xml:space="preserve">Rol</w:t>
            </w:r>
          </w:p>
        </w:tc>
        <w:tc>
          <w:tcPr>
            <w:tcW w:type="dxa" w:w="2889"/>
            <w:shd w:fill="DCEBF7" w:color="auto" w:val="clear"/>
            <w:tcMar>
              <w:top w:type="dxa" w:w="60"/>
              <w:left w:type="dxa" w:w="100"/>
              <w:bottom w:type="dxa" w:w="60"/>
              <w:right w:type="dxa" w:w="100"/>
            </w:tcMar>
          </w:tcPr>
          <w:p>
            <w:pPr>
              <w:spacing w:after="0"/>
            </w:pPr>
            <w:r>
              <w:rPr>
                <w:b/>
                <w:bCs/>
              </w:rPr>
              <w:t xml:space="preserve">Quién lo tiene</w:t>
            </w:r>
          </w:p>
        </w:tc>
        <w:tc>
          <w:tcPr>
            <w:tcW w:type="dxa" w:w="5276"/>
            <w:shd w:fill="DCEBF7" w:color="auto" w:val="clear"/>
            <w:tcMar>
              <w:top w:type="dxa" w:w="60"/>
              <w:left w:type="dxa" w:w="100"/>
              <w:bottom w:type="dxa" w:w="60"/>
              <w:right w:type="dxa" w:w="100"/>
            </w:tcMar>
          </w:tcPr>
          <w:p>
            <w:pPr>
              <w:spacing w:after="0"/>
            </w:pPr>
            <w:r>
              <w:rPr>
                <w:b/>
                <w:bCs/>
              </w:rPr>
              <w:t xml:space="preserve">Qué habilita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superadmin</w:t>
            </w:r>
          </w:p>
        </w:tc>
        <w:tc>
          <w:tcPr>
            <w:tcW w:type="dxa" w:w="2889"/>
            <w:tcMar>
              <w:top w:type="dxa" w:w="60"/>
              <w:left w:type="dxa" w:w="100"/>
              <w:bottom w:type="dxa" w:w="60"/>
              <w:right w:type="dxa" w:w="100"/>
            </w:tcMar>
          </w:tcPr>
          <w:p>
            <w:pPr>
              <w:spacing w:after="0"/>
            </w:pPr>
            <w:r>
              <w:t xml:space="preserve">La persona que opera el sistema</w:t>
            </w:r>
          </w:p>
        </w:tc>
        <w:tc>
          <w:tcPr>
            <w:tcW w:type="dxa" w:w="5276"/>
            <w:tcMar>
              <w:top w:type="dxa" w:w="60"/>
              <w:left w:type="dxa" w:w="100"/>
              <w:bottom w:type="dxa" w:w="60"/>
              <w:right w:type="dxa" w:w="100"/>
            </w:tcMar>
          </w:tcPr>
          <w:p>
            <w:pPr>
              <w:spacing w:after="0"/>
            </w:pPr>
            <w:r>
              <w:t xml:space="preserve">Todo, más configuración, usuarios, salud, padrón electoral y los actos irreversibles</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w:t>
            </w:r>
          </w:p>
        </w:tc>
        <w:tc>
          <w:tcPr>
            <w:tcW w:type="dxa" w:w="2889"/>
            <w:tcMar>
              <w:top w:type="dxa" w:w="60"/>
              <w:left w:type="dxa" w:w="100"/>
              <w:bottom w:type="dxa" w:w="60"/>
              <w:right w:type="dxa" w:w="100"/>
            </w:tcMar>
          </w:tcPr>
          <w:p>
            <w:pPr>
              <w:spacing w:after="0"/>
            </w:pPr>
            <w:r>
              <w:t xml:space="preserve">Presidente, secretario, tesorero y la Comisión</w:t>
            </w:r>
          </w:p>
        </w:tc>
        <w:tc>
          <w:tcPr>
            <w:tcW w:type="dxa" w:w="5276"/>
            <w:tcMar>
              <w:top w:type="dxa" w:w="60"/>
              <w:left w:type="dxa" w:w="100"/>
              <w:bottom w:type="dxa" w:w="60"/>
              <w:right w:type="dxa" w:w="100"/>
            </w:tcMar>
          </w:tcPr>
          <w:p>
            <w:pPr>
              <w:spacing w:after="0"/>
            </w:pPr>
            <w:r>
              <w:t xml:space="preserve">Solicitudes, altas y bajas por acta, socios, tesorería, actas, contenido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socio</w:t>
            </w:r>
          </w:p>
        </w:tc>
        <w:tc>
          <w:tcPr>
            <w:tcW w:type="dxa" w:w="2889"/>
            <w:tcMar>
              <w:top w:type="dxa" w:w="60"/>
              <w:left w:type="dxa" w:w="100"/>
              <w:bottom w:type="dxa" w:w="60"/>
              <w:right w:type="dxa" w:w="100"/>
            </w:tcMar>
          </w:tcPr>
          <w:p>
            <w:pPr>
              <w:spacing w:after="0"/>
            </w:pPr>
            <w:r>
              <w:t xml:space="preserve">Cada asociado con correo registrado</w:t>
            </w:r>
          </w:p>
        </w:tc>
        <w:tc>
          <w:tcPr>
            <w:tcW w:type="dxa" w:w="5276"/>
            <w:tcMar>
              <w:top w:type="dxa" w:w="60"/>
              <w:left w:type="dxa" w:w="100"/>
              <w:bottom w:type="dxa" w:w="60"/>
              <w:right w:type="dxa" w:w="100"/>
            </w:tcMar>
          </w:tcPr>
          <w:p>
            <w:pPr>
              <w:spacing w:after="0"/>
            </w:pPr>
            <w:r>
              <w:t xml:space="preserve">Su ficha, su cuenta corriente, sus recibos, sus solicitudes</w:t>
            </w:r>
          </w:p>
        </w:tc>
      </w:tr>
    </w:tbl>
    <w:p>
      <w:pPr>
        <w:spacing w:after="120"/>
      </w:pPr>
    </w:p>
    <w:p>
      <w:pPr>
        <w:spacing w:after="120"/>
      </w:pPr>
      <w:r>
        <w:t xml:space="preserve">La autenticación es por correo y contraseña, con recupero por correo. Un socio cargado desde la
ficha recibe una invitación para crear su contraseña cuando se le registra un correo verificado.</w:t>
      </w:r>
    </w:p>
    <w:p>
      <w:pPr>
        <w:pStyle w:val="Heading2"/>
      </w:pPr>
      <w:r>
        <w:t xml:space="preserve">La nav es display; la autorización va en cada acción</w:t>
      </w:r>
    </w:p>
    <w:p>
      <w:pPr>
        <w:spacing w:after="120"/>
      </w:pPr>
      <w:r>
        <w:t xml:space="preserve">Es la convención de seguridad más importante del proyecto y conviene entenderla el primer día.
</w:t>
      </w:r>
      <w:r>
        <w:rPr>
          <w:b/>
          <w:bCs/>
        </w:rPr>
        <w:t xml:space="preserve">La navegación que se ve —la barra lateral del panel, las pestañas, las tarjetas del tablero—
filtra por los roles que trae la sesión, y eso es solamente presentación.</w:t>
      </w:r>
      <w:r>
        <w:t xml:space="preserve"> La sesión puede estar
hasta ocho horas desactualizada respecto de la base, así que lo que se ve no puede ser la única
defensa.</w:t>
      </w:r>
    </w:p>
    <w:p>
      <w:pPr>
        <w:spacing w:after="120"/>
      </w:pPr>
      <w:r>
        <w:t xml:space="preserve">La autorización real se resuelve contra la fila viva de la persona usuaria y se aplica </w:t>
      </w:r>
      <w:r>
        <w:rPr>
          <w:b/>
          <w:bCs/>
        </w:rPr>
        <w:t xml:space="preserve">dos
veces</w:t>
      </w:r>
      <w:r>
        <w:t xml:space="preserve">: en la ruta que pinta la pantalla y otra vez en cada acción de servidor que escribe. El
motivo es concreto: una acción de servidor de este framework no se despacha por su dirección web
sino por un identificador que viaja en una cabecera, de modo que ni el intermediario de rutas ni
el marco de la página la protegen. Cada acción se autoriza a sí misma en su primera línea, sin
excepción.</w:t>
      </w:r>
    </w:p>
    <w:p>
      <w:pPr>
        <w:pStyle w:val="Heading2"/>
      </w:pPr>
      <w:r>
        <w:t xml:space="preserve">Dónde está en el código</w:t>
      </w:r>
    </w:p>
    <w:p>
      <w:pPr>
        <w:spacing w:after="120"/>
      </w:pPr>
      <w:r>
        <w:t xml:space="preserve">Las guardas de administración viven en </w:t>
      </w:r>
      <w:r>
        <w:rPr>
          <w:rFonts w:ascii="Consolas" w:cs="Consolas" w:eastAsia="Consolas" w:hAnsi="Consolas"/>
          <w:sz w:val="20"/>
          <w:szCs w:val="20"/>
          <w:shd w:fill="F1F5F9" w:color="auto" w:val="clear"/>
        </w:rPr>
        <w:t xml:space="preserve">src/lib/auth/require-admin.ts</w:t>
      </w:r>
      <w:r>
        <w:t xml:space="preserve">. La del panel de socio
está en </w:t>
      </w:r>
      <w:r>
        <w:rPr>
          <w:rFonts w:ascii="Consolas" w:cs="Consolas" w:eastAsia="Consolas" w:hAnsi="Consolas"/>
          <w:sz w:val="20"/>
          <w:szCs w:val="20"/>
          <w:shd w:fill="F1F5F9" w:color="auto" w:val="clear"/>
        </w:rPr>
        <w:t xml:space="preserve">src/lib/members/access.ts</w:t>
      </w:r>
      <w:r>
        <w:t xml:space="preserve">. El intermediario de rutas es </w:t>
      </w:r>
      <w:r>
        <w:rPr>
          <w:rFonts w:ascii="Consolas" w:cs="Consolas" w:eastAsia="Consolas" w:hAnsi="Consolas"/>
          <w:sz w:val="20"/>
          <w:szCs w:val="20"/>
          <w:shd w:fill="F1F5F9" w:color="auto" w:val="clear"/>
        </w:rPr>
        <w:t xml:space="preserve">src/proxy.ts</w:t>
      </w:r>
      <w:r>
        <w:t xml:space="preserve">, y sólo
intercepta los dos prefijos protegidos. La única fuente de la navegación del panel es </w:t>
      </w:r>
      <w:r>
        <w:rPr>
          <w:rFonts w:ascii="Consolas" w:cs="Consolas" w:eastAsia="Consolas" w:hAnsi="Consolas"/>
          <w:sz w:val="20"/>
          <w:szCs w:val="20"/>
          <w:shd w:fill="F1F5F9" w:color="auto" w:val="clear"/>
        </w:rPr>
        <w:t xml:space="preserve">src/lib/admin/nav.ts</w:t>
      </w:r>
      <w:r>
        <w:t xml:space="preserve">; la
del panel de socio, </w:t>
      </w:r>
      <w:r>
        <w:rPr>
          <w:rFonts w:ascii="Consolas" w:cs="Consolas" w:eastAsia="Consolas" w:hAnsi="Consolas"/>
          <w:sz w:val="20"/>
          <w:szCs w:val="20"/>
          <w:shd w:fill="F1F5F9" w:color="auto" w:val="clear"/>
        </w:rPr>
        <w:t xml:space="preserve">src/lib/mi/nav.ts</w:t>
      </w:r>
      <w:r>
        <w:t xml:space="preserve">. El documento 7 desarrolla el modelo entero.</w:t>
      </w:r>
    </w:p>
    <w:p>
      <w:pPr>
        <w:pStyle w:val="Heading1"/>
        <w:pageBreakBefore/>
      </w:pPr>
      <w:r>
        <w:t xml:space="preserve">3. Mapa del sitio</w:t>
      </w:r>
    </w:p>
    <w:p>
      <w:pPr>
        <w:spacing w:after="120"/>
      </w:pPr>
      <w:r>
        <w:t xml:space="preserve">Las tres tablas listan las pantallas de primer nivel con una línea cada una; las de detalle y
edición cuelgan de ellas. El detalle está en los documentos 6 y 7 y en los tres manuales.</w:t>
      </w:r>
    </w:p>
    <w:p>
      <w:pPr>
        <w:pStyle w:val="Heading2"/>
      </w:pPr>
      <w:r>
        <w:t xml:space="preserve">Sitio público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49"/>
        <w:gridCol w:w="6023"/>
      </w:tblGrid>
      <w:tr>
        <w:trPr>
          <w:tblHeader/>
        </w:trPr>
        <w:tc>
          <w:tcPr>
            <w:tcW w:type="dxa" w:w="3049"/>
            <w:shd w:fill="DCEBF7" w:color="auto" w:val="clear"/>
            <w:tcMar>
              <w:top w:type="dxa" w:w="60"/>
              <w:left w:type="dxa" w:w="100"/>
              <w:bottom w:type="dxa" w:w="60"/>
              <w:right w:type="dxa" w:w="100"/>
            </w:tcMar>
          </w:tcPr>
          <w:p>
            <w:pPr>
              <w:spacing w:after="0"/>
            </w:pPr>
            <w:r>
              <w:rPr>
                <w:b/>
                <w:bCs/>
              </w:rPr>
              <w:t xml:space="preserve">URL</w:t>
            </w:r>
          </w:p>
        </w:tc>
        <w:tc>
          <w:tcPr>
            <w:tcW w:type="dxa" w:w="6023"/>
            <w:shd w:fill="DCEBF7" w:color="auto" w:val="clear"/>
            <w:tcMar>
              <w:top w:type="dxa" w:w="60"/>
              <w:left w:type="dxa" w:w="100"/>
              <w:bottom w:type="dxa" w:w="60"/>
              <w:right w:type="dxa" w:w="100"/>
            </w:tcMar>
          </w:tcPr>
          <w:p>
            <w:pPr>
              <w:spacing w:after="0"/>
            </w:pPr>
            <w:r>
              <w:rPr>
                <w:b/>
                <w:bCs/>
              </w:rPr>
              <w:t xml:space="preserve">Qué es</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t>
            </w:r>
          </w:p>
        </w:tc>
        <w:tc>
          <w:tcPr>
            <w:tcW w:type="dxa" w:w="6023"/>
            <w:tcMar>
              <w:top w:type="dxa" w:w="60"/>
              <w:left w:type="dxa" w:w="100"/>
              <w:bottom w:type="dxa" w:w="60"/>
              <w:right w:type="dxa" w:w="100"/>
            </w:tcMar>
          </w:tcPr>
          <w:p>
            <w:pPr>
              <w:spacing w:after="0"/>
            </w:pPr>
            <w:r>
              <w:t xml:space="preserve">Portada: imagen principal, llamados a la acción y las últimas tres noticias</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/noticias</w:t>
            </w:r>
            <w:r>
              <w:t xml:space="preserve"> y </w:t>
            </w:r>
            <w:r>
              <w:rPr>
                <w:rFonts w:ascii="Consolas" w:cs="Consolas" w:eastAsia="Consolas" w:hAnsi="Consolas"/>
                <w:sz w:val="20"/>
                <w:szCs w:val="20"/>
                <w:shd w:fill="F1F5F9" w:color="auto" w:val="clear"/>
              </w:rPr>
              <w:t xml:space="preserve">/noticias/[slug]</w:t>
            </w:r>
          </w:p>
        </w:tc>
        <w:tc>
          <w:tcPr>
            <w:tcW w:type="dxa" w:w="6023"/>
            <w:tcMar>
              <w:top w:type="dxa" w:w="60"/>
              <w:left w:type="dxa" w:w="100"/>
              <w:bottom w:type="dxa" w:w="60"/>
              <w:right w:type="dxa" w:w="100"/>
            </w:tcMar>
          </w:tcPr>
          <w:p>
            <w:pPr>
              <w:spacing w:after="0"/>
            </w:pPr>
            <w:r>
              <w:t xml:space="preserve">Listado paginado de diez por página, y la nota completa</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/actividades</w:t>
            </w:r>
          </w:p>
        </w:tc>
        <w:tc>
          <w:tcPr>
            <w:tcW w:type="dxa" w:w="6023"/>
            <w:tcMar>
              <w:top w:type="dxa" w:w="60"/>
              <w:left w:type="dxa" w:w="100"/>
              <w:bottom w:type="dxa" w:w="60"/>
              <w:right w:type="dxa" w:w="100"/>
            </w:tcMar>
          </w:tcPr>
          <w:p>
            <w:pPr>
              <w:spacing w:after="0"/>
            </w:pPr>
            <w:r>
              <w:t xml:space="preserve">Calendario semanal de los salones, por día y espacio, con selector de año</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/ubicacion</w:t>
            </w:r>
          </w:p>
        </w:tc>
        <w:tc>
          <w:tcPr>
            <w:tcW w:type="dxa" w:w="6023"/>
            <w:tcMar>
              <w:top w:type="dxa" w:w="60"/>
              <w:left w:type="dxa" w:w="100"/>
              <w:bottom w:type="dxa" w:w="60"/>
              <w:right w:type="dxa" w:w="100"/>
            </w:tcMar>
          </w:tcPr>
          <w:p>
            <w:pPr>
              <w:spacing w:after="0"/>
            </w:pPr>
            <w:r>
              <w:t xml:space="preserve">Mapa del Instituto Geográfico Nacional, dirección, contacto, salones e historia</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/reportes</w:t>
            </w:r>
          </w:p>
        </w:tc>
        <w:tc>
          <w:tcPr>
            <w:tcW w:type="dxa" w:w="6023"/>
            <w:tcMar>
              <w:top w:type="dxa" w:w="60"/>
              <w:left w:type="dxa" w:w="100"/>
              <w:bottom w:type="dxa" w:w="60"/>
              <w:right w:type="dxa" w:w="100"/>
            </w:tcMar>
          </w:tcPr>
          <w:p>
            <w:pPr>
              <w:spacing w:after="0"/>
            </w:pPr>
            <w:r>
              <w:t xml:space="preserve">Puerta de entrada: reclamo o iniciativa, con contadores del año</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/reportes/nuevo</w:t>
            </w:r>
            <w:r>
              <w:t xml:space="preserve"> y </w:t>
            </w:r>
            <w:r>
              <w:rPr>
                <w:rFonts w:ascii="Consolas" w:cs="Consolas" w:eastAsia="Consolas" w:hAnsi="Consolas"/>
                <w:sz w:val="20"/>
                <w:szCs w:val="20"/>
                <w:shd w:fill="F1F5F9" w:color="auto" w:val="clear"/>
              </w:rPr>
              <w:t xml:space="preserve">/nuevo/[claim]</w:t>
            </w:r>
          </w:p>
        </w:tc>
        <w:tc>
          <w:tcPr>
            <w:tcW w:type="dxa" w:w="6023"/>
            <w:tcMar>
              <w:top w:type="dxa" w:w="60"/>
              <w:left w:type="dxa" w:w="100"/>
              <w:bottom w:type="dxa" w:w="60"/>
              <w:right w:type="dxa" w:w="100"/>
            </w:tcMar>
          </w:tcPr>
          <w:p>
            <w:pPr>
              <w:spacing w:after="0"/>
            </w:pPr>
            <w:r>
              <w:t xml:space="preserve">Wizard de reporte en tres pasos, y su retome por la llave</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/asociate</w:t>
            </w:r>
          </w:p>
        </w:tc>
        <w:tc>
          <w:tcPr>
            <w:tcW w:type="dxa" w:w="6023"/>
            <w:tcMar>
              <w:top w:type="dxa" w:w="60"/>
              <w:left w:type="dxa" w:w="100"/>
              <w:bottom w:type="dxa" w:w="60"/>
              <w:right w:type="dxa" w:w="100"/>
            </w:tcMar>
          </w:tcPr>
          <w:p>
            <w:pPr>
              <w:spacing w:after="0"/>
            </w:pPr>
            <w:r>
              <w:t xml:space="preserve">Wizard de alta web, en seis pasos</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/asociate/retomar/[token]</w:t>
            </w:r>
          </w:p>
        </w:tc>
        <w:tc>
          <w:tcPr>
            <w:tcW w:type="dxa" w:w="6023"/>
            <w:tcMar>
              <w:top w:type="dxa" w:w="60"/>
              <w:left w:type="dxa" w:w="100"/>
              <w:bottom w:type="dxa" w:w="60"/>
              <w:right w:type="dxa" w:w="100"/>
            </w:tcMar>
          </w:tcPr>
          <w:p>
            <w:pPr>
              <w:spacing w:after="0"/>
            </w:pPr>
            <w:r>
              <w:t xml:space="preserve">Retome de la solicitud; es también la vuelta desde Mercado Pago</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/reempadronate</w:t>
            </w:r>
          </w:p>
        </w:tc>
        <w:tc>
          <w:tcPr>
            <w:tcW w:type="dxa" w:w="6023"/>
            <w:tcMar>
              <w:top w:type="dxa" w:w="60"/>
              <w:left w:type="dxa" w:w="100"/>
              <w:bottom w:type="dxa" w:w="60"/>
              <w:right w:type="dxa" w:w="100"/>
            </w:tcMar>
          </w:tcPr>
          <w:p>
            <w:pPr>
              <w:spacing w:after="0"/>
            </w:pPr>
            <w:r>
              <w:t xml:space="preserve">Wizard de re-empadronamiento, en cuatro pasos</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/reempadronate/retomar/[token]</w:t>
            </w:r>
          </w:p>
        </w:tc>
        <w:tc>
          <w:tcPr>
            <w:tcW w:type="dxa" w:w="6023"/>
            <w:tcMar>
              <w:top w:type="dxa" w:w="60"/>
              <w:left w:type="dxa" w:w="100"/>
              <w:bottom w:type="dxa" w:w="60"/>
              <w:right w:type="dxa" w:w="100"/>
            </w:tcMar>
          </w:tcPr>
          <w:p>
            <w:pPr>
              <w:spacing w:after="0"/>
            </w:pPr>
            <w:r>
              <w:t xml:space="preserve">Retome, subsanación y estado de la presentación</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/ingresar</w:t>
            </w:r>
            <w:r>
              <w:t xml:space="preserve"> y </w:t>
            </w:r>
            <w:r>
              <w:rPr>
                <w:rFonts w:ascii="Consolas" w:cs="Consolas" w:eastAsia="Consolas" w:hAnsi="Consolas"/>
                <w:sz w:val="20"/>
                <w:szCs w:val="20"/>
                <w:shd w:fill="F1F5F9" w:color="auto" w:val="clear"/>
              </w:rPr>
              <w:t xml:space="preserve">/ingresar/recuperar</w:t>
            </w:r>
          </w:p>
        </w:tc>
        <w:tc>
          <w:tcPr>
            <w:tcW w:type="dxa" w:w="6023"/>
            <w:tcMar>
              <w:top w:type="dxa" w:w="60"/>
              <w:left w:type="dxa" w:w="100"/>
              <w:bottom w:type="dxa" w:w="60"/>
              <w:right w:type="dxa" w:w="100"/>
            </w:tcMar>
          </w:tcPr>
          <w:p>
            <w:pPr>
              <w:spacing w:after="0"/>
            </w:pPr>
            <w:r>
              <w:t xml:space="preserve">Inicio de sesión y pedido de recupero de contraseña</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/ingresar/restablecer/[token]</w:t>
            </w:r>
          </w:p>
        </w:tc>
        <w:tc>
          <w:tcPr>
            <w:tcW w:type="dxa" w:w="6023"/>
            <w:tcMar>
              <w:top w:type="dxa" w:w="60"/>
              <w:left w:type="dxa" w:w="100"/>
              <w:bottom w:type="dxa" w:w="60"/>
              <w:right w:type="dxa" w:w="100"/>
            </w:tcMar>
          </w:tcPr>
          <w:p>
            <w:pPr>
              <w:spacing w:after="0"/>
            </w:pPr>
            <w:r>
              <w:t xml:space="preserve">Canje del enlace de recupero</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/acceso/[token]</w:t>
            </w:r>
            <w:r>
              <w:t xml:space="preserve"> y </w:t>
            </w:r>
            <w:r>
              <w:rPr>
                <w:rFonts w:ascii="Consolas" w:cs="Consolas" w:eastAsia="Consolas" w:hAnsi="Consolas"/>
                <w:sz w:val="20"/>
                <w:szCs w:val="20"/>
                <w:shd w:fill="F1F5F9" w:color="auto" w:val="clear"/>
              </w:rPr>
              <w:t xml:space="preserve">/verificar/[token]</w:t>
            </w:r>
          </w:p>
        </w:tc>
        <w:tc>
          <w:tcPr>
            <w:tcW w:type="dxa" w:w="6023"/>
            <w:tcMar>
              <w:top w:type="dxa" w:w="60"/>
              <w:left w:type="dxa" w:w="100"/>
              <w:bottom w:type="dxa" w:w="60"/>
              <w:right w:type="dxa" w:w="100"/>
            </w:tcMar>
          </w:tcPr>
          <w:p>
            <w:pPr>
              <w:spacing w:after="0"/>
            </w:pPr>
            <w:r>
              <w:t xml:space="preserve">Alta de contraseña por invitación, y verificación de correo</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/redirigir</w:t>
            </w:r>
          </w:p>
        </w:tc>
        <w:tc>
          <w:tcPr>
            <w:tcW w:type="dxa" w:w="6023"/>
            <w:tcMar>
              <w:top w:type="dxa" w:w="60"/>
              <w:left w:type="dxa" w:w="100"/>
              <w:bottom w:type="dxa" w:w="60"/>
              <w:right w:type="dxa" w:w="100"/>
            </w:tcMar>
          </w:tcPr>
          <w:p>
            <w:pPr>
              <w:spacing w:after="0"/>
            </w:pPr>
            <w:r>
              <w:t xml:space="preserve">Derivador posterior al inicio de sesión, según el rol</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/api/imagenes/noticias/[name]</w:t>
            </w:r>
          </w:p>
        </w:tc>
        <w:tc>
          <w:tcPr>
            <w:tcW w:type="dxa" w:w="6023"/>
            <w:tcMar>
              <w:top w:type="dxa" w:w="60"/>
              <w:left w:type="dxa" w:w="100"/>
              <w:bottom w:type="dxa" w:w="60"/>
              <w:right w:type="dxa" w:w="100"/>
            </w:tcMar>
          </w:tcPr>
          <w:p>
            <w:pPr>
              <w:spacing w:after="0"/>
            </w:pPr>
            <w:r>
              <w:t xml:space="preserve">Portadas de noticias: la única ruta de archivo pública</w:t>
            </w:r>
          </w:p>
        </w:tc>
      </w:tr>
      <w:tr>
        <w:tc>
          <w:tcPr>
            <w:tcW w:type="dxa" w:w="304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/robots.txt</w:t>
            </w:r>
            <w:r>
              <w:t xml:space="preserve">, </w:t>
            </w:r>
            <w:r>
              <w:rPr>
                <w:rFonts w:ascii="Consolas" w:cs="Consolas" w:eastAsia="Consolas" w:hAnsi="Consolas"/>
                <w:sz w:val="20"/>
                <w:szCs w:val="20"/>
                <w:shd w:fill="F1F5F9" w:color="auto" w:val="clear"/>
              </w:rPr>
              <w:t xml:space="preserve">/sitemap.xml</w:t>
            </w:r>
          </w:p>
        </w:tc>
        <w:tc>
          <w:tcPr>
            <w:tcW w:type="dxa" w:w="6023"/>
            <w:tcMar>
              <w:top w:type="dxa" w:w="60"/>
              <w:left w:type="dxa" w:w="100"/>
              <w:bottom w:type="dxa" w:w="60"/>
              <w:right w:type="dxa" w:w="100"/>
            </w:tcMar>
          </w:tcPr>
          <w:p>
            <w:pPr>
              <w:spacing w:after="0"/>
            </w:pPr>
            <w:r>
              <w:t xml:space="preserve">Posicionamiento; el mapa del sitio se arma en cada pedido</w:t>
            </w:r>
          </w:p>
        </w:tc>
      </w:tr>
    </w:tbl>
    <w:p>
      <w:pPr>
        <w:spacing w:after="120"/>
      </w:pPr>
    </w:p>
    <w:p>
      <w:pPr>
        <w:spacing w:after="120"/>
      </w:pPr>
      <w:r>
        <w:t xml:space="preserve">Las pantallas que se abren con un token de un solo uso no llevan captcha: el token ya es la
barrera y sin él no hay nada que enumerar. Los formularios anónimos sí lo llevan.</w:t>
      </w:r>
    </w:p>
    <w:p>
      <w:pPr>
        <w:pStyle w:val="Heading2"/>
      </w:pPr>
      <w:r>
        <w:t xml:space="preserve">Panel de socio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910"/>
        <w:gridCol w:w="5162"/>
      </w:tblGrid>
      <w:tr>
        <w:trPr>
          <w:tblHeader/>
        </w:trPr>
        <w:tc>
          <w:tcPr>
            <w:tcW w:type="dxa" w:w="3910"/>
            <w:shd w:fill="DCEBF7" w:color="auto" w:val="clear"/>
            <w:tcMar>
              <w:top w:type="dxa" w:w="60"/>
              <w:left w:type="dxa" w:w="100"/>
              <w:bottom w:type="dxa" w:w="60"/>
              <w:right w:type="dxa" w:w="100"/>
            </w:tcMar>
          </w:tcPr>
          <w:p>
            <w:pPr>
              <w:spacing w:after="0"/>
            </w:pPr>
            <w:r>
              <w:rPr>
                <w:b/>
                <w:bCs/>
              </w:rPr>
              <w:t xml:space="preserve">URL</w:t>
            </w:r>
          </w:p>
        </w:tc>
        <w:tc>
          <w:tcPr>
            <w:tcW w:type="dxa" w:w="5162"/>
            <w:shd w:fill="DCEBF7" w:color="auto" w:val="clear"/>
            <w:tcMar>
              <w:top w:type="dxa" w:w="60"/>
              <w:left w:type="dxa" w:w="100"/>
              <w:bottom w:type="dxa" w:w="60"/>
              <w:right w:type="dxa" w:w="100"/>
            </w:tcMar>
          </w:tcPr>
          <w:p>
            <w:pPr>
              <w:spacing w:after="0"/>
            </w:pPr>
            <w:r>
              <w:rPr>
                <w:b/>
                <w:bCs/>
              </w:rPr>
              <w:t xml:space="preserve">Qué es</w:t>
            </w:r>
          </w:p>
        </w:tc>
      </w:tr>
      <w:tr>
        <w:tc>
          <w:tcPr>
            <w:tcW w:type="dxa" w:w="391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w:t>
            </w:r>
          </w:p>
        </w:tc>
        <w:tc>
          <w:tcPr>
            <w:tcW w:type="dxa" w:w="5162"/>
            <w:tcMar>
              <w:top w:type="dxa" w:w="60"/>
              <w:left w:type="dxa" w:w="100"/>
              <w:bottom w:type="dxa" w:w="60"/>
              <w:right w:type="dxa" w:w="100"/>
            </w:tcMar>
          </w:tcPr>
          <w:p>
            <w:pPr>
              <w:spacing w:after="0"/>
            </w:pPr>
            <w:r>
              <w:t xml:space="preserve">Inicio: credencial, estado de cuenta, débito y accesos rápidos</w:t>
            </w:r>
          </w:p>
        </w:tc>
      </w:tr>
      <w:tr>
        <w:tc>
          <w:tcPr>
            <w:tcW w:type="dxa" w:w="391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/mi/cuenta</w:t>
            </w:r>
          </w:p>
        </w:tc>
        <w:tc>
          <w:tcPr>
            <w:tcW w:type="dxa" w:w="5162"/>
            <w:tcMar>
              <w:top w:type="dxa" w:w="60"/>
              <w:left w:type="dxa" w:w="100"/>
              <w:bottom w:type="dxa" w:w="60"/>
              <w:right w:type="dxa" w:w="100"/>
            </w:tcMar>
          </w:tcPr>
          <w:p>
            <w:pPr>
              <w:spacing w:after="0"/>
            </w:pPr>
            <w:r>
              <w:t xml:space="preserve">Cuenta corriente: deuda, períodos, pagos, recibos y botón de pago</w:t>
            </w:r>
          </w:p>
        </w:tc>
      </w:tr>
      <w:tr>
        <w:tc>
          <w:tcPr>
            <w:tcW w:type="dxa" w:w="391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/mi/debito</w:t>
            </w:r>
            <w:r>
              <w:t xml:space="preserve"> y </w:t>
            </w:r>
            <w:r>
              <w:rPr>
                <w:rFonts w:ascii="Consolas" w:cs="Consolas" w:eastAsia="Consolas" w:hAnsi="Consolas"/>
                <w:sz w:val="20"/>
                <w:szCs w:val="20"/>
                <w:shd w:fill="F1F5F9" w:color="auto" w:val="clear"/>
              </w:rPr>
              <w:t xml:space="preserve">/mi/debito/cancelar</w:t>
            </w:r>
          </w:p>
        </w:tc>
        <w:tc>
          <w:tcPr>
            <w:tcW w:type="dxa" w:w="5162"/>
            <w:tcMar>
              <w:top w:type="dxa" w:w="60"/>
              <w:left w:type="dxa" w:w="100"/>
              <w:bottom w:type="dxa" w:w="60"/>
              <w:right w:type="dxa" w:w="100"/>
            </w:tcMar>
          </w:tcPr>
          <w:p>
            <w:pPr>
              <w:spacing w:after="0"/>
            </w:pPr>
            <w:r>
              <w:t xml:space="preserve">Estado y adhesión del débito, y su cancelación</w:t>
            </w:r>
          </w:p>
        </w:tc>
      </w:tr>
      <w:tr>
        <w:tc>
          <w:tcPr>
            <w:tcW w:type="dxa" w:w="391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/mi/datos</w:t>
            </w:r>
          </w:p>
        </w:tc>
        <w:tc>
          <w:tcPr>
            <w:tcW w:type="dxa" w:w="5162"/>
            <w:tcMar>
              <w:top w:type="dxa" w:w="60"/>
              <w:left w:type="dxa" w:w="100"/>
              <w:bottom w:type="dxa" w:w="60"/>
              <w:right w:type="dxa" w:w="100"/>
            </w:tcMar>
          </w:tcPr>
          <w:p>
            <w:pPr>
              <w:spacing w:after="0"/>
            </w:pPr>
            <w:r>
              <w:t xml:space="preserve">Ficha del padrón; se editan teléfono, domicilio y correo</w:t>
            </w:r>
          </w:p>
        </w:tc>
      </w:tr>
      <w:tr>
        <w:tc>
          <w:tcPr>
            <w:tcW w:type="dxa" w:w="391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/mi/solicitudes</w:t>
            </w:r>
          </w:p>
        </w:tc>
        <w:tc>
          <w:tcPr>
            <w:tcW w:type="dxa" w:w="5162"/>
            <w:tcMar>
              <w:top w:type="dxa" w:w="60"/>
              <w:left w:type="dxa" w:w="100"/>
              <w:bottom w:type="dxa" w:w="60"/>
              <w:right w:type="dxa" w:w="100"/>
            </w:tcMar>
          </w:tcPr>
          <w:p>
            <w:pPr>
              <w:spacing w:after="0"/>
            </w:pPr>
            <w:r>
              <w:t xml:space="preserve">Institucional: baja por renuncia y cambio de categoría</w:t>
            </w:r>
          </w:p>
        </w:tc>
      </w:tr>
      <w:tr>
        <w:tc>
          <w:tcPr>
            <w:tcW w:type="dxa" w:w="391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/mi/solicitudes/reportes</w:t>
            </w:r>
          </w:p>
        </w:tc>
        <w:tc>
          <w:tcPr>
            <w:tcW w:type="dxa" w:w="5162"/>
            <w:tcMar>
              <w:top w:type="dxa" w:w="60"/>
              <w:left w:type="dxa" w:w="100"/>
              <w:bottom w:type="dxa" w:w="60"/>
              <w:right w:type="dxa" w:w="100"/>
            </w:tcMar>
          </w:tcPr>
          <w:p>
            <w:pPr>
              <w:spacing w:after="0"/>
            </w:pPr>
            <w:r>
              <w:t xml:space="preserve">Los reportes que presentó el socio, y el wizard en modo socio</w:t>
            </w:r>
          </w:p>
        </w:tc>
      </w:tr>
      <w:tr>
        <w:tc>
          <w:tcPr>
            <w:tcW w:type="dxa" w:w="391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/mi/documentos</w:t>
            </w:r>
          </w:p>
        </w:tc>
        <w:tc>
          <w:tcPr>
            <w:tcW w:type="dxa" w:w="5162"/>
            <w:tcMar>
              <w:top w:type="dxa" w:w="60"/>
              <w:left w:type="dxa" w:w="100"/>
              <w:bottom w:type="dxa" w:w="60"/>
              <w:right w:type="dxa" w:w="100"/>
            </w:tcMar>
          </w:tcPr>
          <w:p>
            <w:pPr>
              <w:spacing w:after="0"/>
            </w:pPr>
            <w:r>
              <w:t xml:space="preserve">Biblioteca: estatuto destacado, normas, memorias, balances y otros</w:t>
            </w:r>
          </w:p>
        </w:tc>
      </w:tr>
      <w:tr>
        <w:tc>
          <w:tcPr>
            <w:tcW w:type="dxa" w:w="391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/api/mi/recibos/[id]</w:t>
            </w:r>
            <w:r>
              <w:t xml:space="preserve"> y </w:t>
            </w:r>
            <w:r>
              <w:rPr>
                <w:rFonts w:ascii="Consolas" w:cs="Consolas" w:eastAsia="Consolas" w:hAnsi="Consolas"/>
                <w:sz w:val="20"/>
                <w:szCs w:val="20"/>
                <w:shd w:fill="F1F5F9" w:color="auto" w:val="clear"/>
              </w:rPr>
              <w:t xml:space="preserve">/api/mi/documentos/[id]</w:t>
            </w:r>
          </w:p>
        </w:tc>
        <w:tc>
          <w:tcPr>
            <w:tcW w:type="dxa" w:w="5162"/>
            <w:tcMar>
              <w:top w:type="dxa" w:w="60"/>
              <w:left w:type="dxa" w:w="100"/>
              <w:bottom w:type="dxa" w:w="60"/>
              <w:right w:type="dxa" w:w="100"/>
            </w:tcMar>
          </w:tcPr>
          <w:p>
            <w:pPr>
              <w:spacing w:after="0"/>
            </w:pPr>
            <w:r>
              <w:t xml:space="preserve">PDF de un recibo propio y de un documento institucional</w:t>
            </w:r>
          </w:p>
        </w:tc>
      </w:tr>
      <w:tr>
        <w:tc>
          <w:tcPr>
            <w:tcW w:type="dxa" w:w="391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/api/mi/reportes/[id]/archivos/[fileId]</w:t>
            </w:r>
          </w:p>
        </w:tc>
        <w:tc>
          <w:tcPr>
            <w:tcW w:type="dxa" w:w="5162"/>
            <w:tcMar>
              <w:top w:type="dxa" w:w="60"/>
              <w:left w:type="dxa" w:w="100"/>
              <w:bottom w:type="dxa" w:w="60"/>
              <w:right w:type="dxa" w:w="100"/>
            </w:tcMar>
          </w:tcPr>
          <w:p>
            <w:pPr>
              <w:spacing w:after="0"/>
            </w:pPr>
            <w:r>
              <w:t xml:space="preserve">Imagen de un archivo propio de un reporte</w:t>
            </w:r>
          </w:p>
        </w:tc>
      </w:tr>
    </w:tbl>
    <w:p>
      <w:pPr>
        <w:spacing w:after="120"/>
      </w:pPr>
    </w:p>
    <w:p>
      <w:pPr>
        <w:spacing w:after="120"/>
      </w:pPr>
      <w:r>
        <w:t xml:space="preserve">La pestaña de débito sólo aparece para las categorías que pagan cuota, y eso también es
presentación. Un socio suspendido entra y paga, pero no adhiere el débito ni presenta solicitudes.</w:t>
      </w:r>
    </w:p>
    <w:p>
      <w:pPr>
        <w:pStyle w:val="Heading2"/>
      </w:pPr>
      <w:r>
        <w:t xml:space="preserve">Panel de administración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73"/>
        <w:gridCol w:w="4499"/>
      </w:tblGrid>
      <w:tr>
        <w:trPr>
          <w:tblHeader/>
        </w:trPr>
        <w:tc>
          <w:tcPr>
            <w:tcW w:type="dxa" w:w="4573"/>
            <w:shd w:fill="DCEBF7" w:color="auto" w:val="clear"/>
            <w:tcMar>
              <w:top w:type="dxa" w:w="60"/>
              <w:left w:type="dxa" w:w="100"/>
              <w:bottom w:type="dxa" w:w="60"/>
              <w:right w:type="dxa" w:w="100"/>
            </w:tcMar>
          </w:tcPr>
          <w:p>
            <w:pPr>
              <w:spacing w:after="0"/>
            </w:pPr>
            <w:r>
              <w:rPr>
                <w:b/>
                <w:bCs/>
              </w:rPr>
              <w:t xml:space="preserve">URL</w:t>
            </w:r>
          </w:p>
        </w:tc>
        <w:tc>
          <w:tcPr>
            <w:tcW w:type="dxa" w:w="4499"/>
            <w:shd w:fill="DCEBF7" w:color="auto" w:val="clear"/>
            <w:tcMar>
              <w:top w:type="dxa" w:w="60"/>
              <w:left w:type="dxa" w:w="100"/>
              <w:bottom w:type="dxa" w:w="60"/>
              <w:right w:type="dxa" w:w="100"/>
            </w:tcMar>
          </w:tcPr>
          <w:p>
            <w:pPr>
              <w:spacing w:after="0"/>
            </w:pPr>
            <w:r>
              <w:rPr>
                <w:b/>
                <w:bCs/>
              </w:rPr>
              <w:t xml:space="preserve">Qué es</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w:t>
            </w:r>
          </w:p>
        </w:tc>
        <w:tc>
          <w:tcPr>
            <w:tcW w:type="dxa" w:w="4499"/>
            <w:tcMar>
              <w:top w:type="dxa" w:w="60"/>
              <w:left w:type="dxa" w:w="100"/>
              <w:bottom w:type="dxa" w:w="60"/>
              <w:right w:type="dxa" w:w="100"/>
            </w:tcMar>
          </w:tcPr>
          <w:p>
            <w:pPr>
              <w:spacing w:after="0"/>
            </w:pPr>
            <w:r>
              <w:t xml:space="preserve">Tablero con las tarjetas por grupo</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/admin/solicitudes</w:t>
            </w:r>
          </w:p>
        </w:tc>
        <w:tc>
          <w:tcPr>
            <w:tcW w:type="dxa" w:w="4499"/>
            <w:tcMar>
              <w:top w:type="dxa" w:w="60"/>
              <w:left w:type="dxa" w:w="100"/>
              <w:bottom w:type="dxa" w:w="60"/>
              <w:right w:type="dxa" w:w="100"/>
            </w:tcMar>
          </w:tcPr>
          <w:p>
            <w:pPr>
              <w:spacing w:after="0"/>
            </w:pPr>
            <w:r>
              <w:t xml:space="preserve">Altas web: cola, historial y ficha de cada una</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/admin/solicitudes/resumen</w:t>
            </w:r>
            <w:r>
              <w:t xml:space="preserve"> y </w:t>
            </w:r>
            <w:r>
              <w:rPr>
                <w:rFonts w:ascii="Consolas" w:cs="Consolas" w:eastAsia="Consolas" w:hAnsi="Consolas"/>
                <w:sz w:val="20"/>
                <w:szCs w:val="20"/>
                <w:shd w:fill="F1F5F9" w:color="auto" w:val="clear"/>
              </w:rPr>
              <w:t xml:space="preserve">/admin/solicitudes/socios</w:t>
            </w:r>
          </w:p>
        </w:tc>
        <w:tc>
          <w:tcPr>
            <w:tcW w:type="dxa" w:w="4499"/>
            <w:tcMar>
              <w:top w:type="dxa" w:w="60"/>
              <w:left w:type="dxa" w:w="100"/>
              <w:bottom w:type="dxa" w:w="60"/>
              <w:right w:type="dxa" w:w="100"/>
            </w:tcMar>
          </w:tcPr>
          <w:p>
            <w:pPr>
              <w:spacing w:after="0"/>
            </w:pPr>
            <w:r>
              <w:t xml:space="preserve">Resumen mensual para acta, y solicitudes del panel de socio</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/admin/solicitudes/reportes</w:t>
            </w:r>
          </w:p>
        </w:tc>
        <w:tc>
          <w:tcPr>
            <w:tcW w:type="dxa" w:w="4499"/>
            <w:tcMar>
              <w:top w:type="dxa" w:w="60"/>
              <w:left w:type="dxa" w:w="100"/>
              <w:bottom w:type="dxa" w:w="60"/>
              <w:right w:type="dxa" w:w="100"/>
            </w:tcMar>
          </w:tcPr>
          <w:p>
            <w:pPr>
              <w:spacing w:after="0"/>
            </w:pPr>
            <w:r>
              <w:t xml:space="preserve">Cola de reclamos e iniciativas, con ficha, mapa y PDF</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/admin/reempadronamiento</w:t>
            </w:r>
          </w:p>
        </w:tc>
        <w:tc>
          <w:tcPr>
            <w:tcW w:type="dxa" w:w="4499"/>
            <w:tcMar>
              <w:top w:type="dxa" w:w="60"/>
              <w:left w:type="dxa" w:w="100"/>
              <w:bottom w:type="dxa" w:w="60"/>
              <w:right w:type="dxa" w:w="100"/>
            </w:tcMar>
          </w:tcPr>
          <w:p>
            <w:pPr>
              <w:spacing w:after="0"/>
            </w:pPr>
            <w:r>
              <w:t xml:space="preserve">Tablero del proceso estatutario</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/admin/reempadronamiento/convocar</w:t>
            </w:r>
          </w:p>
        </w:tc>
        <w:tc>
          <w:tcPr>
            <w:tcW w:type="dxa" w:w="4499"/>
            <w:tcMar>
              <w:top w:type="dxa" w:w="60"/>
              <w:left w:type="dxa" w:w="100"/>
              <w:bottom w:type="dxa" w:w="60"/>
              <w:right w:type="dxa" w:w="100"/>
            </w:tcMar>
          </w:tcPr>
          <w:p>
            <w:pPr>
              <w:spacing w:after="0"/>
            </w:pPr>
            <w:r>
              <w:t xml:space="preserve">Convocatoria con acta (superadmin)</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/admin/reempadronamiento/presentaciones</w:t>
            </w:r>
          </w:p>
        </w:tc>
        <w:tc>
          <w:tcPr>
            <w:tcW w:type="dxa" w:w="4499"/>
            <w:tcMar>
              <w:top w:type="dxa" w:w="60"/>
              <w:left w:type="dxa" w:w="100"/>
              <w:bottom w:type="dxa" w:w="60"/>
              <w:right w:type="dxa" w:w="100"/>
            </w:tcMar>
          </w:tcPr>
          <w:p>
            <w:pPr>
              <w:spacing w:after="0"/>
            </w:pPr>
            <w:r>
              <w:t xml:space="preserve">Cola de validación y ficha de cada una</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/admin/reempadronamiento/presencial</w:t>
            </w:r>
          </w:p>
        </w:tc>
        <w:tc>
          <w:tcPr>
            <w:tcW w:type="dxa" w:w="4499"/>
            <w:tcMar>
              <w:top w:type="dxa" w:w="60"/>
              <w:left w:type="dxa" w:w="100"/>
              <w:bottom w:type="dxa" w:w="60"/>
              <w:right w:type="dxa" w:w="100"/>
            </w:tcMar>
          </w:tcPr>
          <w:p>
            <w:pPr>
              <w:spacing w:after="0"/>
            </w:pPr>
            <w:r>
              <w:t xml:space="preserve">Carga presencial de una presentación</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/admin/reempadronamiento/cierre</w:t>
            </w:r>
          </w:p>
        </w:tc>
        <w:tc>
          <w:tcPr>
            <w:tcW w:type="dxa" w:w="4499"/>
            <w:tcMar>
              <w:top w:type="dxa" w:w="60"/>
              <w:left w:type="dxa" w:w="100"/>
              <w:bottom w:type="dxa" w:w="60"/>
              <w:right w:type="dxa" w:w="100"/>
            </w:tcMar>
          </w:tcPr>
          <w:p>
            <w:pPr>
              <w:spacing w:after="0"/>
            </w:pPr>
            <w:r>
              <w:t xml:space="preserve">Checklist, bajas en lote y cierre (superadmin)</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/admin/socios</w:t>
            </w:r>
          </w:p>
        </w:tc>
        <w:tc>
          <w:tcPr>
            <w:tcW w:type="dxa" w:w="4499"/>
            <w:tcMar>
              <w:top w:type="dxa" w:w="60"/>
              <w:left w:type="dxa" w:w="100"/>
              <w:bottom w:type="dxa" w:w="60"/>
              <w:right w:type="dxa" w:w="100"/>
            </w:tcMar>
          </w:tcPr>
          <w:p>
            <w:pPr>
              <w:spacing w:after="0"/>
            </w:pPr>
            <w:r>
              <w:t xml:space="preserve">Padrón con resumen, chips y filtros</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/admin/socios/[id]</w:t>
            </w:r>
          </w:p>
        </w:tc>
        <w:tc>
          <w:tcPr>
            <w:tcW w:type="dxa" w:w="4499"/>
            <w:tcMar>
              <w:top w:type="dxa" w:w="60"/>
              <w:left w:type="dxa" w:w="100"/>
              <w:bottom w:type="dxa" w:w="60"/>
              <w:right w:type="dxa" w:w="100"/>
            </w:tcMar>
          </w:tcPr>
          <w:p>
            <w:pPr>
              <w:spacing w:after="0"/>
            </w:pPr>
            <w:r>
              <w:t xml:space="preserve">Ficha del socio, en cuatro pestañas</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/admin/socios/[id]/[accion]</w:t>
            </w:r>
          </w:p>
        </w:tc>
        <w:tc>
          <w:tcPr>
            <w:tcW w:type="dxa" w:w="4499"/>
            <w:tcMar>
              <w:top w:type="dxa" w:w="60"/>
              <w:left w:type="dxa" w:w="100"/>
              <w:bottom w:type="dxa" w:w="60"/>
              <w:right w:type="dxa" w:w="100"/>
            </w:tcMar>
          </w:tcPr>
          <w:p>
            <w:pPr>
              <w:spacing w:after="0"/>
            </w:pPr>
            <w:r>
              <w:t xml:space="preserve">Baja, cambio de categoría, suspensión o reingreso</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/admin/socios/[id]/link</w:t>
            </w:r>
          </w:p>
        </w:tc>
        <w:tc>
          <w:tcPr>
            <w:tcW w:type="dxa" w:w="4499"/>
            <w:tcMar>
              <w:top w:type="dxa" w:w="60"/>
              <w:left w:type="dxa" w:w="100"/>
              <w:bottom w:type="dxa" w:w="60"/>
              <w:right w:type="dxa" w:w="100"/>
            </w:tcMar>
          </w:tcPr>
          <w:p>
            <w:pPr>
              <w:spacing w:after="0"/>
            </w:pPr>
            <w:r>
              <w:t xml:space="preserve">Link de pago de una o varias cuotas para ese socio</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/admin/socios/nuevo</w:t>
            </w:r>
            <w:r>
              <w:t xml:space="preserve"> y </w:t>
            </w:r>
            <w:r>
              <w:rPr>
                <w:rFonts w:ascii="Consolas" w:cs="Consolas" w:eastAsia="Consolas" w:hAnsi="Consolas"/>
                <w:sz w:val="20"/>
                <w:szCs w:val="20"/>
                <w:shd w:fill="F1F5F9" w:color="auto" w:val="clear"/>
              </w:rPr>
              <w:t xml:space="preserve">/admin/socios/carga/[numero]</w:t>
            </w:r>
          </w:p>
        </w:tc>
        <w:tc>
          <w:tcPr>
            <w:tcW w:type="dxa" w:w="4499"/>
            <w:tcMar>
              <w:top w:type="dxa" w:w="60"/>
              <w:left w:type="dxa" w:w="100"/>
              <w:bottom w:type="dxa" w:w="60"/>
              <w:right w:type="dxa" w:w="100"/>
            </w:tcMar>
          </w:tcPr>
          <w:p>
            <w:pPr>
              <w:spacing w:after="0"/>
            </w:pPr>
            <w:r>
              <w:t xml:space="preserve">Alta manual con acta, y modo carga</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/admin/socios/libros</w:t>
            </w:r>
            <w:r>
              <w:t xml:space="preserve"> y </w:t>
            </w:r>
            <w:r>
              <w:rPr>
                <w:rFonts w:ascii="Consolas" w:cs="Consolas" w:eastAsia="Consolas" w:hAnsi="Consolas"/>
                <w:sz w:val="20"/>
                <w:szCs w:val="20"/>
                <w:shd w:fill="F1F5F9" w:color="auto" w:val="clear"/>
              </w:rPr>
              <w:t xml:space="preserve">/admin/socios/historico</w:t>
            </w:r>
          </w:p>
        </w:tc>
        <w:tc>
          <w:tcPr>
            <w:tcW w:type="dxa" w:w="4499"/>
            <w:tcMar>
              <w:top w:type="dxa" w:w="60"/>
              <w:left w:type="dxa" w:w="100"/>
              <w:bottom w:type="dxa" w:w="60"/>
              <w:right w:type="dxa" w:w="100"/>
            </w:tcMar>
          </w:tcPr>
          <w:p>
            <w:pPr>
              <w:spacing w:after="0"/>
            </w:pPr>
            <w:r>
              <w:t xml:space="preserve">Libros abiertos y cerrados, y socios de libros cerrados</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/admin/tesoreria/deudores</w:t>
            </w:r>
            <w:r>
              <w:t xml:space="preserve"> y </w:t>
            </w:r>
            <w:r>
              <w:rPr>
                <w:rFonts w:ascii="Consolas" w:cs="Consolas" w:eastAsia="Consolas" w:hAnsi="Consolas"/>
                <w:sz w:val="20"/>
                <w:szCs w:val="20"/>
                <w:shd w:fill="F1F5F9" w:color="auto" w:val="clear"/>
              </w:rPr>
              <w:t xml:space="preserve">/admin/tesoreria/efectivo</w:t>
            </w:r>
          </w:p>
        </w:tc>
        <w:tc>
          <w:tcPr>
            <w:tcW w:type="dxa" w:w="4499"/>
            <w:tcMar>
              <w:top w:type="dxa" w:w="60"/>
              <w:left w:type="dxa" w:w="100"/>
              <w:bottom w:type="dxa" w:w="60"/>
              <w:right w:type="dxa" w:w="100"/>
            </w:tcMar>
          </w:tcPr>
          <w:p>
            <w:pPr>
              <w:spacing w:after="0"/>
            </w:pPr>
            <w:r>
              <w:t xml:space="preserve">Deudores con cesantía en lote, y cobro por mostrador</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/admin/tesoreria/deudores/gestion-manual</w:t>
            </w:r>
          </w:p>
        </w:tc>
        <w:tc>
          <w:tcPr>
            <w:tcW w:type="dxa" w:w="4499"/>
            <w:tcMar>
              <w:top w:type="dxa" w:w="60"/>
              <w:left w:type="dxa" w:w="100"/>
              <w:bottom w:type="dxa" w:w="60"/>
              <w:right w:type="dxa" w:w="100"/>
            </w:tcMar>
          </w:tcPr>
          <w:p>
            <w:pPr>
              <w:spacing w:after="0"/>
            </w:pPr>
            <w:r>
              <w:t xml:space="preserve">Lista imprimible de deudores sin correo</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/admin/tesoreria/recibos</w:t>
            </w:r>
          </w:p>
        </w:tc>
        <w:tc>
          <w:tcPr>
            <w:tcW w:type="dxa" w:w="4499"/>
            <w:tcMar>
              <w:top w:type="dxa" w:w="60"/>
              <w:left w:type="dxa" w:w="100"/>
              <w:bottom w:type="dxa" w:w="60"/>
              <w:right w:type="dxa" w:w="100"/>
            </w:tcMar>
          </w:tcPr>
          <w:p>
            <w:pPr>
              <w:spacing w:after="0"/>
            </w:pPr>
            <w:r>
              <w:t xml:space="preserve">Recibos: listado, PDF, reenvío y anulación</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/admin/tesoreria/sin-conciliar</w:t>
            </w:r>
          </w:p>
        </w:tc>
        <w:tc>
          <w:tcPr>
            <w:tcW w:type="dxa" w:w="4499"/>
            <w:tcMar>
              <w:top w:type="dxa" w:w="60"/>
              <w:left w:type="dxa" w:w="100"/>
              <w:bottom w:type="dxa" w:w="60"/>
              <w:right w:type="dxa" w:w="100"/>
            </w:tcMar>
          </w:tcPr>
          <w:p>
            <w:pPr>
              <w:spacing w:after="0"/>
            </w:pPr>
            <w:r>
              <w:t xml:space="preserve">Bandeja de cobros de Mercado Pago sin imputar</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/admin/tesoreria/suscripciones</w:t>
            </w:r>
          </w:p>
        </w:tc>
        <w:tc>
          <w:tcPr>
            <w:tcW w:type="dxa" w:w="4499"/>
            <w:tcMar>
              <w:top w:type="dxa" w:w="60"/>
              <w:left w:type="dxa" w:w="100"/>
              <w:bottom w:type="dxa" w:w="60"/>
              <w:right w:type="dxa" w:w="100"/>
            </w:tcMar>
          </w:tcPr>
          <w:p>
            <w:pPr>
              <w:spacing w:after="0"/>
            </w:pPr>
            <w:r>
              <w:t xml:space="preserve">Suscripciones vinculadas y sin vincular</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/admin/tesoreria/otros-ingresos</w:t>
            </w:r>
          </w:p>
        </w:tc>
        <w:tc>
          <w:tcPr>
            <w:tcW w:type="dxa" w:w="4499"/>
            <w:tcMar>
              <w:top w:type="dxa" w:w="60"/>
              <w:left w:type="dxa" w:w="100"/>
              <w:bottom w:type="dxa" w:w="60"/>
              <w:right w:type="dxa" w:w="100"/>
            </w:tcMar>
          </w:tcPr>
          <w:p>
            <w:pPr>
              <w:spacing w:after="0"/>
            </w:pPr>
            <w:r>
              <w:t xml:space="preserve">Ingresos que no son de ningún socio</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/admin/tesoreria/valores</w:t>
            </w:r>
          </w:p>
        </w:tc>
        <w:tc>
          <w:tcPr>
            <w:tcW w:type="dxa" w:w="4499"/>
            <w:tcMar>
              <w:top w:type="dxa" w:w="60"/>
              <w:left w:type="dxa" w:w="100"/>
              <w:bottom w:type="dxa" w:w="60"/>
              <w:right w:type="dxa" w:w="100"/>
            </w:tcMar>
          </w:tcPr>
          <w:p>
            <w:pPr>
              <w:spacing w:after="0"/>
            </w:pPr>
            <w:r>
              <w:t xml:space="preserve">Valores de cuota y actualización en lote</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/admin/tesoreria/exenciones</w:t>
            </w:r>
          </w:p>
        </w:tc>
        <w:tc>
          <w:tcPr>
            <w:tcW w:type="dxa" w:w="4499"/>
            <w:tcMar>
              <w:top w:type="dxa" w:w="60"/>
              <w:left w:type="dxa" w:w="100"/>
              <w:bottom w:type="dxa" w:w="60"/>
              <w:right w:type="dxa" w:w="100"/>
            </w:tcMar>
          </w:tcPr>
          <w:p>
            <w:pPr>
              <w:spacing w:after="0"/>
            </w:pPr>
            <w:r>
              <w:t xml:space="preserve">Exenciones de cuota vigentes e historial</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/admin/actas</w:t>
            </w:r>
          </w:p>
        </w:tc>
        <w:tc>
          <w:tcPr>
            <w:tcW w:type="dxa" w:w="4499"/>
            <w:tcMar>
              <w:top w:type="dxa" w:w="60"/>
              <w:left w:type="dxa" w:w="100"/>
              <w:bottom w:type="dxa" w:w="60"/>
              <w:right w:type="dxa" w:w="100"/>
            </w:tcMar>
          </w:tcPr>
          <w:p>
            <w:pPr>
              <w:spacing w:after="0"/>
            </w:pPr>
            <w:r>
              <w:t xml:space="preserve">Actas por tipo y año, con exportación</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/admin/noticias</w:t>
            </w:r>
            <w:r>
              <w:t xml:space="preserve">, </w:t>
            </w:r>
            <w:r>
              <w:rPr>
                <w:rFonts w:ascii="Consolas" w:cs="Consolas" w:eastAsia="Consolas" w:hAnsi="Consolas"/>
                <w:sz w:val="20"/>
                <w:szCs w:val="20"/>
                <w:shd w:fill="F1F5F9" w:color="auto" w:val="clear"/>
              </w:rPr>
              <w:t xml:space="preserve">/admin/actividades</w:t>
            </w:r>
            <w:r>
              <w:t xml:space="preserve"> y </w:t>
            </w:r>
            <w:r>
              <w:rPr>
                <w:rFonts w:ascii="Consolas" w:cs="Consolas" w:eastAsia="Consolas" w:hAnsi="Consolas"/>
                <w:sz w:val="20"/>
                <w:szCs w:val="20"/>
                <w:shd w:fill="F1F5F9" w:color="auto" w:val="clear"/>
              </w:rPr>
              <w:t xml:space="preserve">/admin/documentos</w:t>
            </w:r>
          </w:p>
        </w:tc>
        <w:tc>
          <w:tcPr>
            <w:tcW w:type="dxa" w:w="4499"/>
            <w:tcMar>
              <w:top w:type="dxa" w:w="60"/>
              <w:left w:type="dxa" w:w="100"/>
              <w:bottom w:type="dxa" w:w="60"/>
              <w:right w:type="dxa" w:w="100"/>
            </w:tcMar>
          </w:tcPr>
          <w:p>
            <w:pPr>
              <w:spacing w:after="0"/>
            </w:pPr>
            <w:r>
              <w:t xml:space="preserve">Noticias, calendario de la sede y documentos institucionales</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/admin/salud</w:t>
            </w:r>
          </w:p>
        </w:tc>
        <w:tc>
          <w:tcPr>
            <w:tcW w:type="dxa" w:w="4499"/>
            <w:tcMar>
              <w:top w:type="dxa" w:w="60"/>
              <w:left w:type="dxa" w:w="100"/>
              <w:bottom w:type="dxa" w:w="60"/>
              <w:right w:type="dxa" w:w="100"/>
            </w:tcMar>
          </w:tcPr>
          <w:p>
            <w:pPr>
              <w:spacing w:after="0"/>
            </w:pPr>
            <w:r>
              <w:t xml:space="preserve">Veredicto del sistema, en cuatro pestañas (superadmin)</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/admin/padron-electoral</w:t>
            </w:r>
          </w:p>
        </w:tc>
        <w:tc>
          <w:tcPr>
            <w:tcW w:type="dxa" w:w="4499"/>
            <w:tcMar>
              <w:top w:type="dxa" w:w="60"/>
              <w:left w:type="dxa" w:w="100"/>
              <w:bottom w:type="dxa" w:w="60"/>
              <w:right w:type="dxa" w:w="100"/>
            </w:tcMar>
          </w:tcPr>
          <w:p>
            <w:pPr>
              <w:spacing w:after="0"/>
            </w:pPr>
            <w:r>
              <w:t xml:space="preserve">Padrón electoral a una fecha (superadmin)</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/admin/usuarios</w:t>
            </w:r>
          </w:p>
        </w:tc>
        <w:tc>
          <w:tcPr>
            <w:tcW w:type="dxa" w:w="4499"/>
            <w:tcMar>
              <w:top w:type="dxa" w:w="60"/>
              <w:left w:type="dxa" w:w="100"/>
              <w:bottom w:type="dxa" w:w="60"/>
              <w:right w:type="dxa" w:w="100"/>
            </w:tcMar>
          </w:tcPr>
          <w:p>
            <w:pPr>
              <w:spacing w:after="0"/>
            </w:pPr>
            <w:r>
              <w:t xml:space="preserve">Cuentas de gestión y roles (superadmin)</w:t>
            </w:r>
          </w:p>
        </w:tc>
      </w:tr>
      <w:tr>
        <w:tc>
          <w:tcPr>
            <w:tcW w:type="dxa" w:w="457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/admin/configuracion</w:t>
            </w:r>
          </w:p>
        </w:tc>
        <w:tc>
          <w:tcPr>
            <w:tcW w:type="dxa" w:w="4499"/>
            <w:tcMar>
              <w:top w:type="dxa" w:w="60"/>
              <w:left w:type="dxa" w:w="100"/>
              <w:bottom w:type="dxa" w:w="60"/>
              <w:right w:type="dxa" w:w="100"/>
            </w:tcMar>
          </w:tcPr>
          <w:p>
            <w:pPr>
              <w:spacing w:after="0"/>
            </w:pPr>
            <w:r>
              <w:t xml:space="preserve">Parámetros, en cinco pestañas (superadmin)</w:t>
            </w:r>
          </w:p>
        </w:tc>
      </w:tr>
    </w:tbl>
    <w:p>
      <w:pPr>
        <w:spacing w:after="120"/>
      </w:pPr>
    </w:p>
    <w:p>
      <w:pPr>
        <w:spacing w:after="120"/>
      </w:pPr>
      <w:r>
        <w:t xml:space="preserve">Hay además doce rutas de descarga bajo </w:t>
      </w:r>
      <w:r>
        <w:rPr>
          <w:rFonts w:ascii="Consolas" w:cs="Consolas" w:eastAsia="Consolas" w:hAnsi="Consolas"/>
          <w:sz w:val="20"/>
          <w:szCs w:val="20"/>
          <w:shd w:fill="F1F5F9" w:color="auto" w:val="clear"/>
        </w:rPr>
        <w:t xml:space="preserve">/api/admin</w:t>
      </w:r>
      <w:r>
        <w:t xml:space="preserve"> —exportaciones, recibos, documentos
personales y PDF—: todas con su guarda, sin caché y con asiento si es un documento personal.</w:t>
      </w:r>
    </w:p>
    <w:p>
      <w:pPr>
        <w:pStyle w:val="Heading2"/>
      </w:pPr>
      <w:r>
        <w:t xml:space="preserve">Dónde está en el código</w:t>
      </w:r>
    </w:p>
    <w:p>
      <w:pPr>
        <w:spacing w:after="120"/>
      </w:pPr>
      <w:r>
        <w:t xml:space="preserve">Cada dirección se corresponde con una carpeta bajo </w:t>
      </w:r>
      <w:r>
        <w:rPr>
          <w:rFonts w:ascii="Consolas" w:cs="Consolas" w:eastAsia="Consolas" w:hAnsi="Consolas"/>
          <w:sz w:val="20"/>
          <w:szCs w:val="20"/>
          <w:shd w:fill="F1F5F9" w:color="auto" w:val="clear"/>
        </w:rPr>
        <w:t xml:space="preserve">src/app</w:t>
      </w:r>
      <w:r>
        <w:t xml:space="preserve">. Los mapas completos, con archivo y
línea, están en los informes de relevamiento.</w:t>
      </w:r>
    </w:p>
    <w:p>
      <w:pPr>
        <w:pStyle w:val="Heading1"/>
        <w:pageBreakBefore/>
      </w:pPr>
      <w:r>
        <w:t xml:space="preserve">4. Los módulos, en el orden en que se construyeron</w:t>
      </w:r>
    </w:p>
    <w:p>
      <w:pPr>
        <w:spacing w:after="120"/>
      </w:pPr>
      <w:r>
        <w:t xml:space="preserve">Cada módulo tuvo su especificación, su plan y sus criterios de aceptación, con la regla de no
arrancar uno sin cerrar el anterior. Ese orden explica la forma del código mejor que cualquier
diagrama: las piezas tempranas son genéricas porque todavía no sabían qué iba a venir. Las
fechas son las del repositorio: la del commit que cierra el módulo o la de su fusión.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15"/>
        <w:gridCol w:w="5757"/>
      </w:tblGrid>
      <w:tr>
        <w:trPr>
          <w:tblHeader/>
        </w:trPr>
        <w:tc>
          <w:tcPr>
            <w:tcW w:type="dxa" w:w="3315"/>
            <w:shd w:fill="DCEBF7" w:color="auto" w:val="clear"/>
            <w:tcMar>
              <w:top w:type="dxa" w:w="60"/>
              <w:left w:type="dxa" w:w="100"/>
              <w:bottom w:type="dxa" w:w="60"/>
              <w:right w:type="dxa" w:w="100"/>
            </w:tcMar>
          </w:tcPr>
          <w:p>
            <w:pPr>
              <w:spacing w:after="0"/>
            </w:pPr>
            <w:r>
              <w:rPr>
                <w:b/>
                <w:bCs/>
              </w:rPr>
              <w:t xml:space="preserve">Módulo o fase, con su cierre</w:t>
            </w:r>
          </w:p>
        </w:tc>
        <w:tc>
          <w:tcPr>
            <w:tcW w:type="dxa" w:w="5757"/>
            <w:shd w:fill="DCEBF7" w:color="auto" w:val="clear"/>
            <w:tcMar>
              <w:top w:type="dxa" w:w="60"/>
              <w:left w:type="dxa" w:w="100"/>
              <w:bottom w:type="dxa" w:w="60"/>
              <w:right w:type="dxa" w:w="100"/>
            </w:tcMar>
          </w:tcPr>
          <w:p>
            <w:pPr>
              <w:spacing w:after="0"/>
            </w:pPr>
            <w:r>
              <w:rPr>
                <w:b/>
                <w:bCs/>
              </w:rPr>
              <w:t xml:space="preserve">Qué trae</w:t>
            </w:r>
          </w:p>
        </w:tc>
      </w:tr>
      <w:tr>
        <w:tc>
          <w:tcPr>
            <w:tcW w:type="dxa" w:w="3315"/>
            <w:tcMar>
              <w:top w:type="dxa" w:w="60"/>
              <w:left w:type="dxa" w:w="100"/>
              <w:bottom w:type="dxa" w:w="60"/>
              <w:right w:type="dxa" w:w="100"/>
            </w:tcMar>
          </w:tcPr>
          <w:p>
            <w:pPr>
              <w:spacing w:after="0"/>
            </w:pPr>
            <w:r>
              <w:t xml:space="preserve">0 — Base · 17/08/2026</w:t>
            </w:r>
          </w:p>
        </w:tc>
        <w:tc>
          <w:tcPr>
            <w:tcW w:type="dxa" w:w="5757"/>
            <w:tcMar>
              <w:top w:type="dxa" w:w="60"/>
              <w:left w:type="dxa" w:w="100"/>
              <w:bottom w:type="dxa" w:w="60"/>
              <w:right w:type="dxa" w:w="100"/>
            </w:tcMar>
          </w:tcPr>
          <w:p>
            <w:pPr>
              <w:spacing w:after="0"/>
            </w:pPr>
            <w:r>
              <w:t xml:space="preserve">Esqueleto, base, sesión y roles, auditoría, despliegue y respaldos</w:t>
            </w:r>
          </w:p>
        </w:tc>
      </w:tr>
      <w:tr>
        <w:tc>
          <w:tcPr>
            <w:tcW w:type="dxa" w:w="3315"/>
            <w:tcMar>
              <w:top w:type="dxa" w:w="60"/>
              <w:left w:type="dxa" w:w="100"/>
              <w:bottom w:type="dxa" w:w="60"/>
              <w:right w:type="dxa" w:w="100"/>
            </w:tcMar>
          </w:tcPr>
          <w:p>
            <w:pPr>
              <w:spacing w:after="0"/>
            </w:pPr>
            <w:r>
              <w:t xml:space="preserve">1 — Padrón interno · 19/08/2026</w:t>
            </w:r>
          </w:p>
        </w:tc>
        <w:tc>
          <w:tcPr>
            <w:tcW w:type="dxa" w:w="5757"/>
            <w:tcMar>
              <w:top w:type="dxa" w:w="60"/>
              <w:left w:type="dxa" w:w="100"/>
              <w:bottom w:type="dxa" w:w="60"/>
              <w:right w:type="dxa" w:w="100"/>
            </w:tcMar>
          </w:tcPr>
          <w:p>
            <w:pPr>
              <w:spacing w:after="0"/>
            </w:pPr>
            <w:r>
              <w:t xml:space="preserve">Importación del padrón, socios, libros, actas y modo carga</w:t>
            </w:r>
          </w:p>
        </w:tc>
      </w:tr>
      <w:tr>
        <w:tc>
          <w:tcPr>
            <w:tcW w:type="dxa" w:w="3315"/>
            <w:tcMar>
              <w:top w:type="dxa" w:w="60"/>
              <w:left w:type="dxa" w:w="100"/>
              <w:bottom w:type="dxa" w:w="60"/>
              <w:right w:type="dxa" w:w="100"/>
            </w:tcMar>
          </w:tcPr>
          <w:p>
            <w:pPr>
              <w:spacing w:after="0"/>
            </w:pPr>
            <w:r>
              <w:t xml:space="preserve">2 — Sitio público · 20/08/2026</w:t>
            </w:r>
          </w:p>
        </w:tc>
        <w:tc>
          <w:tcPr>
            <w:tcW w:type="dxa" w:w="5757"/>
            <w:tcMar>
              <w:top w:type="dxa" w:w="60"/>
              <w:left w:type="dxa" w:w="100"/>
              <w:bottom w:type="dxa" w:w="60"/>
              <w:right w:type="dxa" w:w="100"/>
            </w:tcMar>
          </w:tcPr>
          <w:p>
            <w:pPr>
              <w:spacing w:after="0"/>
            </w:pPr>
            <w:r>
              <w:t xml:space="preserve">Portada, noticias, actividades, ubicación y cabeceras</w:t>
            </w:r>
          </w:p>
        </w:tc>
      </w:tr>
      <w:tr>
        <w:tc>
          <w:tcPr>
            <w:tcW w:type="dxa" w:w="3315"/>
            <w:tcMar>
              <w:top w:type="dxa" w:w="60"/>
              <w:left w:type="dxa" w:w="100"/>
              <w:bottom w:type="dxa" w:w="60"/>
              <w:right w:type="dxa" w:w="100"/>
            </w:tcMar>
          </w:tcPr>
          <w:p>
            <w:pPr>
              <w:spacing w:after="0"/>
            </w:pPr>
            <w:r>
              <w:t xml:space="preserve">Shell del panel · 20/08/2026</w:t>
            </w:r>
          </w:p>
        </w:tc>
        <w:tc>
          <w:tcPr>
            <w:tcW w:type="dxa" w:w="5757"/>
            <w:tcMar>
              <w:top w:type="dxa" w:w="60"/>
              <w:left w:type="dxa" w:w="100"/>
              <w:bottom w:type="dxa" w:w="60"/>
              <w:right w:type="dxa" w:w="100"/>
            </w:tcMar>
          </w:tcPr>
          <w:p>
            <w:pPr>
              <w:spacing w:after="0"/>
            </w:pPr>
            <w:r>
              <w:t xml:space="preserve">Marco compartido: encabezado, mensajes, estado vacío, lateral</w:t>
            </w:r>
          </w:p>
        </w:tc>
      </w:tr>
      <w:tr>
        <w:tc>
          <w:tcPr>
            <w:tcW w:type="dxa" w:w="3315"/>
            <w:tcMar>
              <w:top w:type="dxa" w:w="60"/>
              <w:left w:type="dxa" w:w="100"/>
              <w:bottom w:type="dxa" w:w="60"/>
              <w:right w:type="dxa" w:w="100"/>
            </w:tcMar>
          </w:tcPr>
          <w:p>
            <w:pPr>
              <w:spacing w:after="0"/>
            </w:pPr>
            <w:r>
              <w:t xml:space="preserve">3 — ASOCIATE y pagos · 21/08/2026</w:t>
            </w:r>
          </w:p>
        </w:tc>
        <w:tc>
          <w:tcPr>
            <w:tcW w:type="dxa" w:w="5757"/>
            <w:tcMar>
              <w:top w:type="dxa" w:w="60"/>
              <w:left w:type="dxa" w:w="100"/>
              <w:bottom w:type="dxa" w:w="60"/>
              <w:right w:type="dxa" w:w="100"/>
            </w:tcMar>
          </w:tcPr>
          <w:p>
            <w:pPr>
              <w:spacing w:after="0"/>
            </w:pPr>
            <w:r>
              <w:t xml:space="preserve">Wizard de alta web, elegibilidad, cuota de ingreso y pagos</w:t>
            </w:r>
          </w:p>
        </w:tc>
      </w:tr>
      <w:tr>
        <w:tc>
          <w:tcPr>
            <w:tcW w:type="dxa" w:w="3315"/>
            <w:tcMar>
              <w:top w:type="dxa" w:w="60"/>
              <w:left w:type="dxa" w:w="100"/>
              <w:bottom w:type="dxa" w:w="60"/>
              <w:right w:type="dxa" w:w="100"/>
            </w:tcMar>
          </w:tcPr>
          <w:p>
            <w:pPr>
              <w:spacing w:after="0"/>
            </w:pPr>
            <w:r>
              <w:t xml:space="preserve">4A — Cuenta corriente · 22/08/2026</w:t>
            </w:r>
          </w:p>
        </w:tc>
        <w:tc>
          <w:tcPr>
            <w:tcW w:type="dxa" w:w="5757"/>
            <w:tcMar>
              <w:top w:type="dxa" w:w="60"/>
              <w:left w:type="dxa" w:w="100"/>
              <w:bottom w:type="dxa" w:w="60"/>
              <w:right w:type="dxa" w:w="100"/>
            </w:tcMar>
          </w:tcPr>
          <w:p>
            <w:pPr>
              <w:spacing w:after="0"/>
            </w:pPr>
            <w:r>
              <w:t xml:space="preserve">Valores de cuota, devengo, deuda, efectivo y recibos</w:t>
            </w:r>
          </w:p>
        </w:tc>
      </w:tr>
      <w:tr>
        <w:tc>
          <w:tcPr>
            <w:tcW w:type="dxa" w:w="3315"/>
            <w:tcMar>
              <w:top w:type="dxa" w:w="60"/>
              <w:left w:type="dxa" w:w="100"/>
              <w:bottom w:type="dxa" w:w="60"/>
              <w:right w:type="dxa" w:w="100"/>
            </w:tcMar>
          </w:tcPr>
          <w:p>
            <w:pPr>
              <w:spacing w:after="0"/>
            </w:pPr>
            <w:r>
              <w:t xml:space="preserve">4B — Mercado Pago · 23/08/2026</w:t>
            </w:r>
          </w:p>
        </w:tc>
        <w:tc>
          <w:tcPr>
            <w:tcW w:type="dxa" w:w="5757"/>
            <w:tcMar>
              <w:top w:type="dxa" w:w="60"/>
              <w:left w:type="dxa" w:w="100"/>
              <w:bottom w:type="dxa" w:w="60"/>
              <w:right w:type="dxa" w:w="100"/>
            </w:tcMar>
          </w:tcPr>
          <w:p>
            <w:pPr>
              <w:spacing w:after="0"/>
            </w:pPr>
            <w:r>
              <w:t xml:space="preserve">Webhook, links, suscripciones, bandeja y conciliación</w:t>
            </w:r>
          </w:p>
        </w:tc>
      </w:tr>
      <w:tr>
        <w:tc>
          <w:tcPr>
            <w:tcW w:type="dxa" w:w="3315"/>
            <w:tcMar>
              <w:top w:type="dxa" w:w="60"/>
              <w:left w:type="dxa" w:w="100"/>
              <w:bottom w:type="dxa" w:w="60"/>
              <w:right w:type="dxa" w:w="100"/>
            </w:tcMar>
          </w:tcPr>
          <w:p>
            <w:pPr>
              <w:spacing w:after="0"/>
            </w:pPr>
            <w:r>
              <w:t xml:space="preserve">4C — Crons y salud · 24/08/2026</w:t>
            </w:r>
          </w:p>
        </w:tc>
        <w:tc>
          <w:tcPr>
            <w:tcW w:type="dxa" w:w="5757"/>
            <w:tcMar>
              <w:top w:type="dxa" w:w="60"/>
              <w:left w:type="dxa" w:w="100"/>
              <w:bottom w:type="dxa" w:w="60"/>
              <w:right w:type="dxa" w:w="100"/>
            </w:tcMar>
          </w:tcPr>
          <w:p>
            <w:pPr>
              <w:spacing w:after="0"/>
            </w:pPr>
            <w:r>
              <w:t xml:space="preserve">Tareas programadas, correo, salud y padrón electoral</w:t>
            </w:r>
          </w:p>
        </w:tc>
      </w:tr>
      <w:tr>
        <w:tc>
          <w:tcPr>
            <w:tcW w:type="dxa" w:w="3315"/>
            <w:tcMar>
              <w:top w:type="dxa" w:w="60"/>
              <w:left w:type="dxa" w:w="100"/>
              <w:bottom w:type="dxa" w:w="60"/>
              <w:right w:type="dxa" w:w="100"/>
            </w:tcMar>
          </w:tcPr>
          <w:p>
            <w:pPr>
              <w:spacing w:after="0"/>
            </w:pPr>
            <w:r>
              <w:t xml:space="preserve">5A — Panel de socio · 24/08/2026</w:t>
            </w:r>
          </w:p>
        </w:tc>
        <w:tc>
          <w:tcPr>
            <w:tcW w:type="dxa" w:w="5757"/>
            <w:tcMar>
              <w:top w:type="dxa" w:w="60"/>
              <w:left w:type="dxa" w:w="100"/>
              <w:bottom w:type="dxa" w:w="60"/>
              <w:right w:type="dxa" w:w="100"/>
            </w:tcMar>
          </w:tcPr>
          <w:p>
            <w:pPr>
              <w:spacing w:after="0"/>
            </w:pPr>
            <w:r>
              <w:t xml:space="preserve">Marco propio, credencial, cuenta corriente y autogestión de datos</w:t>
            </w:r>
          </w:p>
        </w:tc>
      </w:tr>
      <w:tr>
        <w:tc>
          <w:tcPr>
            <w:tcW w:type="dxa" w:w="3315"/>
            <w:tcMar>
              <w:top w:type="dxa" w:w="60"/>
              <w:left w:type="dxa" w:w="100"/>
              <w:bottom w:type="dxa" w:w="60"/>
              <w:right w:type="dxa" w:w="100"/>
            </w:tcMar>
          </w:tcPr>
          <w:p>
            <w:pPr>
              <w:spacing w:after="0"/>
            </w:pPr>
            <w:r>
              <w:t xml:space="preserve">5B — Débito y solicitudes · 25/08/2026</w:t>
            </w:r>
          </w:p>
        </w:tc>
        <w:tc>
          <w:tcPr>
            <w:tcW w:type="dxa" w:w="5757"/>
            <w:tcMar>
              <w:top w:type="dxa" w:w="60"/>
              <w:left w:type="dxa" w:w="100"/>
              <w:bottom w:type="dxa" w:w="60"/>
              <w:right w:type="dxa" w:w="100"/>
            </w:tcMar>
          </w:tcPr>
          <w:p>
            <w:pPr>
              <w:spacing w:after="0"/>
            </w:pPr>
            <w:r>
              <w:t xml:space="preserve">Débito autogestionado y solicitudes de socios</w:t>
            </w:r>
          </w:p>
        </w:tc>
      </w:tr>
      <w:tr>
        <w:tc>
          <w:tcPr>
            <w:tcW w:type="dxa" w:w="3315"/>
            <w:tcMar>
              <w:top w:type="dxa" w:w="60"/>
              <w:left w:type="dxa" w:w="100"/>
              <w:bottom w:type="dxa" w:w="60"/>
              <w:right w:type="dxa" w:w="100"/>
            </w:tcMar>
          </w:tcPr>
          <w:p>
            <w:pPr>
              <w:spacing w:after="0"/>
            </w:pPr>
            <w:r>
              <w:t xml:space="preserve">Actividades · 25/08/2026</w:t>
            </w:r>
          </w:p>
        </w:tc>
        <w:tc>
          <w:tcPr>
            <w:tcW w:type="dxa" w:w="5757"/>
            <w:tcMar>
              <w:top w:type="dxa" w:w="60"/>
              <w:left w:type="dxa" w:w="100"/>
              <w:bottom w:type="dxa" w:w="60"/>
              <w:right w:type="dxa" w:w="100"/>
            </w:tcMar>
          </w:tcPr>
          <w:p>
            <w:pPr>
              <w:spacing w:after="0"/>
            </w:pPr>
            <w:r>
              <w:t xml:space="preserve">Semana de lunes a sábado, cuatro espacios y calendario nuevo</w:t>
            </w:r>
          </w:p>
        </w:tc>
      </w:tr>
      <w:tr>
        <w:tc>
          <w:tcPr>
            <w:tcW w:type="dxa" w:w="3315"/>
            <w:tcMar>
              <w:top w:type="dxa" w:w="60"/>
              <w:left w:type="dxa" w:w="100"/>
              <w:bottom w:type="dxa" w:w="60"/>
              <w:right w:type="dxa" w:w="100"/>
            </w:tcMar>
          </w:tcPr>
          <w:p>
            <w:pPr>
              <w:spacing w:after="0"/>
            </w:pPr>
            <w:r>
              <w:t xml:space="preserve">6A — Socios · 26/08/2026</w:t>
            </w:r>
          </w:p>
        </w:tc>
        <w:tc>
          <w:tcPr>
            <w:tcW w:type="dxa" w:w="5757"/>
            <w:tcMar>
              <w:top w:type="dxa" w:w="60"/>
              <w:left w:type="dxa" w:w="100"/>
              <w:bottom w:type="dxa" w:w="60"/>
              <w:right w:type="dxa" w:w="100"/>
            </w:tcMar>
          </w:tcPr>
          <w:p>
            <w:pPr>
              <w:spacing w:after="0"/>
            </w:pPr>
            <w:r>
              <w:t xml:space="preserve">Padrón, Libros e Histórico, con la foto de cierre</w:t>
            </w:r>
          </w:p>
        </w:tc>
      </w:tr>
      <w:tr>
        <w:tc>
          <w:tcPr>
            <w:tcW w:type="dxa" w:w="3315"/>
            <w:tcMar>
              <w:top w:type="dxa" w:w="60"/>
              <w:left w:type="dxa" w:w="100"/>
              <w:bottom w:type="dxa" w:w="60"/>
              <w:right w:type="dxa" w:w="100"/>
            </w:tcMar>
          </w:tcPr>
          <w:p>
            <w:pPr>
              <w:spacing w:after="0"/>
            </w:pPr>
            <w:r>
              <w:t xml:space="preserve">6B — Re-empadronamiento · 26/08/2026</w:t>
            </w:r>
          </w:p>
        </w:tc>
        <w:tc>
          <w:tcPr>
            <w:tcW w:type="dxa" w:w="5757"/>
            <w:tcMar>
              <w:top w:type="dxa" w:w="60"/>
              <w:left w:type="dxa" w:w="100"/>
              <w:bottom w:type="dxa" w:w="60"/>
              <w:right w:type="dxa" w:w="100"/>
            </w:tcMar>
          </w:tcPr>
          <w:p>
            <w:pPr>
              <w:spacing w:after="0"/>
            </w:pPr>
            <w:r>
              <w:t xml:space="preserve">Proceso, cohorte, wizard público y cartelera</w:t>
            </w:r>
          </w:p>
        </w:tc>
      </w:tr>
      <w:tr>
        <w:tc>
          <w:tcPr>
            <w:tcW w:type="dxa" w:w="3315"/>
            <w:tcMar>
              <w:top w:type="dxa" w:w="60"/>
              <w:left w:type="dxa" w:w="100"/>
              <w:bottom w:type="dxa" w:w="60"/>
              <w:right w:type="dxa" w:w="100"/>
            </w:tcMar>
          </w:tcPr>
          <w:p>
            <w:pPr>
              <w:spacing w:after="0"/>
            </w:pPr>
            <w:r>
              <w:t xml:space="preserve">6C — Cierre del libro · 26/08/2026</w:t>
            </w:r>
          </w:p>
        </w:tc>
        <w:tc>
          <w:tcPr>
            <w:tcW w:type="dxa" w:w="5757"/>
            <w:tcMar>
              <w:top w:type="dxa" w:w="60"/>
              <w:left w:type="dxa" w:w="100"/>
              <w:bottom w:type="dxa" w:w="60"/>
              <w:right w:type="dxa" w:w="100"/>
            </w:tcMar>
          </w:tcPr>
          <w:p>
            <w:pPr>
              <w:spacing w:after="0"/>
            </w:pPr>
            <w:r>
              <w:t xml:space="preserve">Checklist, bajas en lote y cierre con renumeración</w:t>
            </w:r>
          </w:p>
        </w:tc>
      </w:tr>
      <w:tr>
        <w:tc>
          <w:tcPr>
            <w:tcW w:type="dxa" w:w="3315"/>
            <w:tcMar>
              <w:top w:type="dxa" w:w="60"/>
              <w:left w:type="dxa" w:w="100"/>
              <w:bottom w:type="dxa" w:w="60"/>
              <w:right w:type="dxa" w:w="100"/>
            </w:tcMar>
          </w:tcPr>
          <w:p>
            <w:pPr>
              <w:spacing w:after="0"/>
            </w:pPr>
            <w:r>
              <w:t xml:space="preserve">Exención de cuota · 27/08/2026</w:t>
            </w:r>
          </w:p>
        </w:tc>
        <w:tc>
          <w:tcPr>
            <w:tcW w:type="dxa" w:w="5757"/>
            <w:tcMar>
              <w:top w:type="dxa" w:w="60"/>
              <w:left w:type="dxa" w:w="100"/>
              <w:bottom w:type="dxa" w:w="60"/>
              <w:right w:type="dxa" w:w="100"/>
            </w:tcMar>
          </w:tcPr>
          <w:p>
            <w:pPr>
              <w:spacing w:after="0"/>
            </w:pPr>
            <w:r>
              <w:t xml:space="preserve">Exenciones con acta y cinco cortes de cobro</w:t>
            </w:r>
          </w:p>
        </w:tc>
      </w:tr>
      <w:tr>
        <w:tc>
          <w:tcPr>
            <w:tcW w:type="dxa" w:w="3315"/>
            <w:tcMar>
              <w:top w:type="dxa" w:w="60"/>
              <w:left w:type="dxa" w:w="100"/>
              <w:bottom w:type="dxa" w:w="60"/>
              <w:right w:type="dxa" w:w="100"/>
            </w:tcMar>
          </w:tcPr>
          <w:p>
            <w:pPr>
              <w:spacing w:after="0"/>
            </w:pPr>
            <w:r>
              <w:t xml:space="preserve">Paso de documento · 27/08/2026</w:t>
            </w:r>
          </w:p>
        </w:tc>
        <w:tc>
          <w:tcPr>
            <w:tcW w:type="dxa" w:w="5757"/>
            <w:tcMar>
              <w:top w:type="dxa" w:w="60"/>
              <w:left w:type="dxa" w:w="100"/>
              <w:bottom w:type="dxa" w:w="60"/>
              <w:right w:type="dxa" w:w="100"/>
            </w:tcMar>
          </w:tcPr>
          <w:p>
            <w:pPr>
              <w:spacing w:after="0"/>
            </w:pPr>
            <w:r>
              <w:t xml:space="preserve">Elegibilidad temprana: el alta pasa a seis pasos</w:t>
            </w:r>
          </w:p>
        </w:tc>
      </w:tr>
      <w:tr>
        <w:tc>
          <w:tcPr>
            <w:tcW w:type="dxa" w:w="3315"/>
            <w:tcMar>
              <w:top w:type="dxa" w:w="60"/>
              <w:left w:type="dxa" w:w="100"/>
              <w:bottom w:type="dxa" w:w="60"/>
              <w:right w:type="dxa" w:w="100"/>
            </w:tcMar>
          </w:tcPr>
          <w:p>
            <w:pPr>
              <w:spacing w:after="0"/>
            </w:pPr>
            <w:r>
              <w:t xml:space="preserve">Padrón electoral · 27/08/2026</w:t>
            </w:r>
          </w:p>
        </w:tc>
        <w:tc>
          <w:tcPr>
            <w:tcW w:type="dxa" w:w="5757"/>
            <w:tcMar>
              <w:top w:type="dxa" w:w="60"/>
              <w:left w:type="dxa" w:w="100"/>
              <w:bottom w:type="dxa" w:w="60"/>
              <w:right w:type="dxa" w:w="100"/>
            </w:tcMar>
          </w:tcPr>
          <w:p>
            <w:pPr>
              <w:spacing w:after="0"/>
            </w:pPr>
            <w:r>
              <w:t xml:space="preserve">Tercer bloque, exportación y rediseño</w:t>
            </w:r>
          </w:p>
        </w:tc>
      </w:tr>
      <w:tr>
        <w:tc>
          <w:tcPr>
            <w:tcW w:type="dxa" w:w="3315"/>
            <w:tcMar>
              <w:top w:type="dxa" w:w="60"/>
              <w:left w:type="dxa" w:w="100"/>
              <w:bottom w:type="dxa" w:w="60"/>
              <w:right w:type="dxa" w:w="100"/>
            </w:tcMar>
          </w:tcPr>
          <w:p>
            <w:pPr>
              <w:spacing w:after="0"/>
            </w:pPr>
            <w:r>
              <w:t xml:space="preserve">Mejora visual · 27/08/2026</w:t>
            </w:r>
          </w:p>
        </w:tc>
        <w:tc>
          <w:tcPr>
            <w:tcW w:type="dxa" w:w="5757"/>
            <w:tcMar>
              <w:top w:type="dxa" w:w="60"/>
              <w:left w:type="dxa" w:w="100"/>
              <w:bottom w:type="dxa" w:w="60"/>
              <w:right w:type="dxa" w:w="100"/>
            </w:tcMar>
          </w:tcPr>
          <w:p>
            <w:pPr>
              <w:spacing w:after="0"/>
            </w:pPr>
            <w:r>
              <w:t xml:space="preserve">Pie institucional, imagen principal y tablero</w:t>
            </w:r>
          </w:p>
        </w:tc>
      </w:tr>
      <w:tr>
        <w:tc>
          <w:tcPr>
            <w:tcW w:type="dxa" w:w="3315"/>
            <w:tcMar>
              <w:top w:type="dxa" w:w="60"/>
              <w:left w:type="dxa" w:w="100"/>
              <w:bottom w:type="dxa" w:w="60"/>
              <w:right w:type="dxa" w:w="100"/>
            </w:tcMar>
          </w:tcPr>
          <w:p>
            <w:pPr>
              <w:spacing w:after="0"/>
            </w:pPr>
            <w:r>
              <w:t xml:space="preserve">Ubicación · 28/08/2026</w:t>
            </w:r>
          </w:p>
        </w:tc>
        <w:tc>
          <w:tcPr>
            <w:tcW w:type="dxa" w:w="5757"/>
            <w:tcMar>
              <w:top w:type="dxa" w:w="60"/>
              <w:left w:type="dxa" w:w="100"/>
              <w:bottom w:type="dxa" w:w="60"/>
              <w:right w:type="dxa" w:w="100"/>
            </w:tcMar>
          </w:tcPr>
          <w:p>
            <w:pPr>
              <w:spacing w:after="0"/>
            </w:pPr>
            <w:r>
              <w:t xml:space="preserve">Mapa del Instituto Geográfico Nacional y sección de la sede</w:t>
            </w:r>
          </w:p>
        </w:tc>
      </w:tr>
      <w:tr>
        <w:tc>
          <w:tcPr>
            <w:tcW w:type="dxa" w:w="3315"/>
            <w:tcMar>
              <w:top w:type="dxa" w:w="60"/>
              <w:left w:type="dxa" w:w="100"/>
              <w:bottom w:type="dxa" w:w="60"/>
              <w:right w:type="dxa" w:w="100"/>
            </w:tcMar>
          </w:tcPr>
          <w:p>
            <w:pPr>
              <w:spacing w:after="0"/>
            </w:pPr>
            <w:r>
              <w:t xml:space="preserve">Tres pantallas · 28/08/2026</w:t>
            </w:r>
          </w:p>
        </w:tc>
        <w:tc>
          <w:tcPr>
            <w:tcW w:type="dxa" w:w="5757"/>
            <w:tcMar>
              <w:top w:type="dxa" w:w="60"/>
              <w:left w:type="dxa" w:w="100"/>
              <w:bottom w:type="dxa" w:w="60"/>
              <w:right w:type="dxa" w:w="100"/>
            </w:tcMar>
          </w:tcPr>
          <w:p>
            <w:pPr>
              <w:spacing w:after="0"/>
            </w:pPr>
            <w:r>
              <w:t xml:space="preserve">Configuración, Salud y Actividades rediseñadas</w:t>
            </w:r>
          </w:p>
        </w:tc>
      </w:tr>
      <w:tr>
        <w:tc>
          <w:tcPr>
            <w:tcW w:type="dxa" w:w="3315"/>
            <w:tcMar>
              <w:top w:type="dxa" w:w="60"/>
              <w:left w:type="dxa" w:w="100"/>
              <w:bottom w:type="dxa" w:w="60"/>
              <w:right w:type="dxa" w:w="100"/>
            </w:tcMar>
          </w:tcPr>
          <w:p>
            <w:pPr>
              <w:spacing w:after="0"/>
            </w:pPr>
            <w:r>
              <w:t xml:space="preserve">Actas · 29/08/2026</w:t>
            </w:r>
          </w:p>
        </w:tc>
        <w:tc>
          <w:tcPr>
            <w:tcW w:type="dxa" w:w="5757"/>
            <w:tcMar>
              <w:top w:type="dxa" w:w="60"/>
              <w:left w:type="dxa" w:w="100"/>
              <w:bottom w:type="dxa" w:w="60"/>
              <w:right w:type="dxa" w:w="100"/>
            </w:tcMar>
          </w:tcPr>
          <w:p>
            <w:pPr>
              <w:spacing w:after="0"/>
            </w:pPr>
            <w:r>
              <w:t xml:space="preserve">Cronología por año y exportación de constancia en PDF y Word</w:t>
            </w:r>
          </w:p>
        </w:tc>
      </w:tr>
      <w:tr>
        <w:tc>
          <w:tcPr>
            <w:tcW w:type="dxa" w:w="3315"/>
            <w:tcMar>
              <w:top w:type="dxa" w:w="60"/>
              <w:left w:type="dxa" w:w="100"/>
              <w:bottom w:type="dxa" w:w="60"/>
              <w:right w:type="dxa" w:w="100"/>
            </w:tcMar>
          </w:tcPr>
          <w:p>
            <w:pPr>
              <w:spacing w:after="0"/>
            </w:pPr>
            <w:r>
              <w:t xml:space="preserve">Usuarios y roles · 29/08/2026</w:t>
            </w:r>
          </w:p>
        </w:tc>
        <w:tc>
          <w:tcPr>
            <w:tcW w:type="dxa" w:w="5757"/>
            <w:tcMar>
              <w:top w:type="dxa" w:w="60"/>
              <w:left w:type="dxa" w:w="100"/>
              <w:bottom w:type="dxa" w:w="60"/>
              <w:right w:type="dxa" w:w="100"/>
            </w:tcMar>
          </w:tcPr>
          <w:p>
            <w:pPr>
              <w:spacing w:after="0"/>
            </w:pPr>
            <w:r>
              <w:t xml:space="preserve">Cuentas de gestión, roles, invitaciones y desactivación</w:t>
            </w:r>
          </w:p>
        </w:tc>
      </w:tr>
      <w:tr>
        <w:tc>
          <w:tcPr>
            <w:tcW w:type="dxa" w:w="3315"/>
            <w:tcMar>
              <w:top w:type="dxa" w:w="60"/>
              <w:left w:type="dxa" w:w="100"/>
              <w:bottom w:type="dxa" w:w="60"/>
              <w:right w:type="dxa" w:w="100"/>
            </w:tcMar>
          </w:tcPr>
          <w:p>
            <w:pPr>
              <w:spacing w:after="0"/>
            </w:pPr>
            <w:r>
              <w:t xml:space="preserve">Invitación por correo · 29/08/2026</w:t>
            </w:r>
          </w:p>
        </w:tc>
        <w:tc>
          <w:tcPr>
            <w:tcW w:type="dxa" w:w="5757"/>
            <w:tcMar>
              <w:top w:type="dxa" w:w="60"/>
              <w:left w:type="dxa" w:w="100"/>
              <w:bottom w:type="dxa" w:w="60"/>
              <w:right w:type="dxa" w:w="100"/>
            </w:tcMar>
          </w:tcPr>
          <w:p>
            <w:pPr>
              <w:spacing w:after="0"/>
            </w:pPr>
            <w:r>
              <w:t xml:space="preserve">La invitación de contraseña viaja por correo</w:t>
            </w:r>
          </w:p>
        </w:tc>
      </w:tr>
      <w:tr>
        <w:tc>
          <w:tcPr>
            <w:tcW w:type="dxa" w:w="3315"/>
            <w:tcMar>
              <w:top w:type="dxa" w:w="60"/>
              <w:left w:type="dxa" w:w="100"/>
              <w:bottom w:type="dxa" w:w="60"/>
              <w:right w:type="dxa" w:w="100"/>
            </w:tcMar>
          </w:tcPr>
          <w:p>
            <w:pPr>
              <w:spacing w:after="0"/>
            </w:pPr>
            <w:r>
              <w:t xml:space="preserve">Documentos · 30/08/2026</w:t>
            </w:r>
          </w:p>
        </w:tc>
        <w:tc>
          <w:tcPr>
            <w:tcW w:type="dxa" w:w="5757"/>
            <w:tcMar>
              <w:top w:type="dxa" w:w="60"/>
              <w:left w:type="dxa" w:w="100"/>
              <w:bottom w:type="dxa" w:w="60"/>
              <w:right w:type="dxa" w:w="100"/>
            </w:tcMar>
          </w:tcPr>
          <w:p>
            <w:pPr>
              <w:spacing w:after="0"/>
            </w:pPr>
            <w:r>
              <w:t xml:space="preserve">Estatuto, memorias y balances en el panel y en el panel de socio</w:t>
            </w:r>
          </w:p>
        </w:tc>
      </w:tr>
      <w:tr>
        <w:tc>
          <w:tcPr>
            <w:tcW w:type="dxa" w:w="3315"/>
            <w:tcMar>
              <w:top w:type="dxa" w:w="60"/>
              <w:left w:type="dxa" w:w="100"/>
              <w:bottom w:type="dxa" w:w="60"/>
              <w:right w:type="dxa" w:w="100"/>
            </w:tcMar>
          </w:tcPr>
          <w:p>
            <w:pPr>
              <w:spacing w:after="0"/>
            </w:pPr>
            <w:r>
              <w:t xml:space="preserve">Admisión de ASOCIATE · 01/09/2026</w:t>
            </w:r>
          </w:p>
        </w:tc>
        <w:tc>
          <w:tcPr>
            <w:tcW w:type="dxa" w:w="5757"/>
            <w:tcMar>
              <w:top w:type="dxa" w:w="60"/>
              <w:left w:type="dxa" w:w="100"/>
              <w:bottom w:type="dxa" w:w="60"/>
              <w:right w:type="dxa" w:w="100"/>
            </w:tcMar>
          </w:tcPr>
          <w:p>
            <w:pPr>
              <w:spacing w:after="0"/>
            </w:pPr>
            <w:r>
              <w:t xml:space="preserve">Nada promete admisión antes del acta</w:t>
            </w:r>
          </w:p>
        </w:tc>
      </w:tr>
      <w:tr>
        <w:tc>
          <w:tcPr>
            <w:tcW w:type="dxa" w:w="3315"/>
            <w:tcMar>
              <w:top w:type="dxa" w:w="60"/>
              <w:left w:type="dxa" w:w="100"/>
              <w:bottom w:type="dxa" w:w="60"/>
              <w:right w:type="dxa" w:w="100"/>
            </w:tcMar>
          </w:tcPr>
          <w:p>
            <w:pPr>
              <w:spacing w:after="0"/>
            </w:pPr>
            <w:r>
              <w:t xml:space="preserve">7 — Reportes · 02/09/2026</w:t>
            </w:r>
          </w:p>
        </w:tc>
        <w:tc>
          <w:tcPr>
            <w:tcW w:type="dxa" w:w="5757"/>
            <w:tcMar>
              <w:top w:type="dxa" w:w="60"/>
              <w:left w:type="dxa" w:w="100"/>
              <w:bottom w:type="dxa" w:w="60"/>
              <w:right w:type="dxa" w:w="100"/>
            </w:tcMar>
          </w:tcPr>
          <w:p>
            <w:pPr>
              <w:spacing w:after="0"/>
            </w:pPr>
            <w:r>
              <w:t xml:space="preserve">Reclamos e iniciativas: wizards, bandeja, mapa y PDF</w:t>
            </w:r>
          </w:p>
        </w:tc>
      </w:tr>
      <w:tr>
        <w:tc>
          <w:tcPr>
            <w:tcW w:type="dxa" w:w="3315"/>
            <w:tcMar>
              <w:top w:type="dxa" w:w="60"/>
              <w:left w:type="dxa" w:w="100"/>
              <w:bottom w:type="dxa" w:w="60"/>
              <w:right w:type="dxa" w:w="100"/>
            </w:tcMar>
          </w:tcPr>
          <w:p>
            <w:pPr>
              <w:spacing w:after="0"/>
            </w:pPr>
            <w:r>
              <w:t xml:space="preserve">Llave de colaborador · 02/09/2026</w:t>
            </w:r>
          </w:p>
        </w:tc>
        <w:tc>
          <w:tcPr>
            <w:tcW w:type="dxa" w:w="5757"/>
            <w:tcMar>
              <w:top w:type="dxa" w:w="60"/>
              <w:left w:type="dxa" w:w="100"/>
              <w:bottom w:type="dxa" w:w="60"/>
              <w:right w:type="dxa" w:w="100"/>
            </w:tcMar>
          </w:tcPr>
          <w:p>
            <w:pPr>
              <w:spacing w:after="0"/>
            </w:pPr>
            <w:r>
              <w:t xml:space="preserve">Cierra la categoría hasta la oficialización</w:t>
            </w:r>
          </w:p>
        </w:tc>
      </w:tr>
      <w:tr>
        <w:tc>
          <w:tcPr>
            <w:tcW w:type="dxa" w:w="3315"/>
            <w:tcMar>
              <w:top w:type="dxa" w:w="60"/>
              <w:left w:type="dxa" w:w="100"/>
              <w:bottom w:type="dxa" w:w="60"/>
              <w:right w:type="dxa" w:w="100"/>
            </w:tcMar>
          </w:tcPr>
          <w:p>
            <w:pPr>
              <w:spacing w:after="0"/>
            </w:pPr>
            <w:r>
              <w:t xml:space="preserve">Pestañas de sección · 02/09/2026</w:t>
            </w:r>
          </w:p>
        </w:tc>
        <w:tc>
          <w:tcPr>
            <w:tcW w:type="dxa" w:w="5757"/>
            <w:tcMar>
              <w:top w:type="dxa" w:w="60"/>
              <w:left w:type="dxa" w:w="100"/>
              <w:bottom w:type="dxa" w:w="60"/>
              <w:right w:type="dxa" w:w="100"/>
            </w:tcMar>
          </w:tcPr>
          <w:p>
            <w:pPr>
              <w:spacing w:after="0"/>
            </w:pPr>
            <w:r>
              <w:t xml:space="preserve">Forma de solapa en las nueve barras de pestañas</w:t>
            </w:r>
          </w:p>
        </w:tc>
      </w:tr>
      <w:tr>
        <w:tc>
          <w:tcPr>
            <w:tcW w:type="dxa" w:w="3315"/>
            <w:tcMar>
              <w:top w:type="dxa" w:w="60"/>
              <w:left w:type="dxa" w:w="100"/>
              <w:bottom w:type="dxa" w:w="60"/>
              <w:right w:type="dxa" w:w="100"/>
            </w:tcMar>
          </w:tcPr>
          <w:p>
            <w:pPr>
              <w:spacing w:after="0"/>
            </w:pPr>
            <w:r>
              <w:t xml:space="preserve">Navegación móvil · 02/09/2026</w:t>
            </w:r>
          </w:p>
        </w:tc>
        <w:tc>
          <w:tcPr>
            <w:tcW w:type="dxa" w:w="5757"/>
            <w:tcMar>
              <w:top w:type="dxa" w:w="60"/>
              <w:left w:type="dxa" w:w="100"/>
              <w:bottom w:type="dxa" w:w="60"/>
              <w:right w:type="dxa" w:w="100"/>
            </w:tcMar>
          </w:tcPr>
          <w:p>
            <w:pPr>
              <w:spacing w:after="0"/>
            </w:pPr>
            <w:r>
              <w:t xml:space="preserve">Tira grande con flechas flotantes en el panel de socio</w:t>
            </w:r>
          </w:p>
        </w:tc>
      </w:tr>
      <w:tr>
        <w:tc>
          <w:tcPr>
            <w:tcW w:type="dxa" w:w="3315"/>
            <w:tcMar>
              <w:top w:type="dxa" w:w="60"/>
              <w:left w:type="dxa" w:w="100"/>
              <w:bottom w:type="dxa" w:w="60"/>
              <w:right w:type="dxa" w:w="100"/>
            </w:tcMar>
          </w:tcPr>
          <w:p>
            <w:pPr>
              <w:spacing w:after="0"/>
            </w:pPr>
            <w:r>
              <w:t xml:space="preserve">Número de reporte · 03/09/2026</w:t>
            </w:r>
          </w:p>
        </w:tc>
        <w:tc>
          <w:tcPr>
            <w:tcW w:type="dxa" w:w="5757"/>
            <w:tcMar>
              <w:top w:type="dxa" w:w="60"/>
              <w:left w:type="dxa" w:w="100"/>
              <w:bottom w:type="dxa" w:w="60"/>
              <w:right w:type="dxa" w:w="100"/>
            </w:tcMar>
          </w:tcPr>
          <w:p>
            <w:pPr>
              <w:spacing w:after="0"/>
            </w:pPr>
            <w:r>
              <w:t xml:space="preserve">El número público se asigna al enviar, con serie</w:t>
            </w:r>
          </w:p>
        </w:tc>
      </w:tr>
      <w:tr>
        <w:tc>
          <w:tcPr>
            <w:tcW w:type="dxa" w:w="3315"/>
            <w:tcMar>
              <w:top w:type="dxa" w:w="60"/>
              <w:left w:type="dxa" w:w="100"/>
              <w:bottom w:type="dxa" w:w="60"/>
              <w:right w:type="dxa" w:w="100"/>
            </w:tcMar>
          </w:tcPr>
          <w:p>
            <w:pPr>
              <w:spacing w:after="0"/>
            </w:pPr>
            <w:r>
              <w:t xml:space="preserve">4D — Reparto · 10/09/2026</w:t>
            </w:r>
          </w:p>
        </w:tc>
        <w:tc>
          <w:tcPr>
            <w:tcW w:type="dxa" w:w="5757"/>
            <w:tcMar>
              <w:top w:type="dxa" w:w="60"/>
              <w:left w:type="dxa" w:w="100"/>
              <w:bottom w:type="dxa" w:w="60"/>
              <w:right w:type="dxa" w:w="100"/>
            </w:tcMar>
          </w:tcPr>
          <w:p>
            <w:pPr>
              <w:spacing w:after="0"/>
            </w:pPr>
            <w:r>
              <w:t xml:space="preserve">Un cobro se reparte entre hasta cinco socios en una transacción</w:t>
            </w:r>
          </w:p>
        </w:tc>
      </w:tr>
      <w:tr>
        <w:tc>
          <w:tcPr>
            <w:tcW w:type="dxa" w:w="3315"/>
            <w:tcMar>
              <w:top w:type="dxa" w:w="60"/>
              <w:left w:type="dxa" w:w="100"/>
              <w:bottom w:type="dxa" w:w="60"/>
              <w:right w:type="dxa" w:w="100"/>
            </w:tcMar>
          </w:tcPr>
          <w:p>
            <w:pPr>
              <w:spacing w:after="0"/>
            </w:pPr>
            <w:r>
              <w:t xml:space="preserve">Pagos ajenos · 11/09/2026</w:t>
            </w:r>
          </w:p>
        </w:tc>
        <w:tc>
          <w:tcPr>
            <w:tcW w:type="dxa" w:w="5757"/>
            <w:tcMar>
              <w:top w:type="dxa" w:w="60"/>
              <w:left w:type="dxa" w:w="100"/>
              <w:bottom w:type="dxa" w:w="60"/>
              <w:right w:type="dxa" w:w="100"/>
            </w:tcMar>
          </w:tcPr>
          <w:p>
            <w:pPr>
              <w:spacing w:after="0"/>
            </w:pPr>
            <w:r>
              <w:t xml:space="preserve">El cron detecta lo que la cuenta pagó y no lo cobra</w:t>
            </w:r>
          </w:p>
        </w:tc>
      </w:tr>
    </w:tbl>
    <w:p>
      <w:pPr>
        <w:spacing w:after="120"/>
      </w:pPr>
    </w:p>
    <w:p>
      <w:pPr>
        <w:spacing w:after="120"/>
      </w:pPr>
      <w:r>
        <w:t xml:space="preserve">Tres observaciones. </w:t>
      </w:r>
      <w:r>
        <w:rPr>
          <w:b/>
          <w:bCs/>
        </w:rPr>
        <w:t xml:space="preserve">Los módulos 4 y 6 son los más pesados y los más medidos</w:t>
      </w:r>
      <w:r>
        <w:t xml:space="preserve">: dispararon
correcciones que ningún test podía anticipar, porque venían de medir contra un servicio externo o
contra la base real en lugar de suponer. </w:t>
      </w:r>
      <w:r>
        <w:rPr>
          <w:b/>
          <w:bCs/>
        </w:rPr>
        <w:t xml:space="preserve">A partir del módulo 4 casi nada se reimplementa</w:t>
      </w:r>
      <w:r>
        <w:t xml:space="preserve">:
cuando dos caminos necesitan la misma regla se comparte la función, porque hay varios casos en
los que una regla copiada divergió en silencio. Y </w:t>
      </w:r>
      <w:r>
        <w:rPr>
          <w:b/>
          <w:bCs/>
        </w:rPr>
        <w:t xml:space="preserve">los módulos posteriores al 6 tocaron muy poco
código anterior</w:t>
      </w:r>
      <w:r>
        <w:t xml:space="preserve">: la exención de cuota y el de reportes cerraron sin modificar ni un archivo
existente del núcleo de tesorería ni del de pagos.</w:t>
      </w:r>
    </w:p>
    <w:p>
      <w:pPr>
        <w:pStyle w:val="Heading2"/>
      </w:pPr>
      <w:r>
        <w:t xml:space="preserve">Dónde está en el código</w:t>
      </w:r>
    </w:p>
    <w:p>
      <w:pPr>
        <w:spacing w:after="120"/>
      </w:pPr>
      <w:r>
        <w:t xml:space="preserve">Cada módulo dejó una especificación en </w:t>
      </w:r>
      <w:r>
        <w:rPr>
          <w:rFonts w:ascii="Consolas" w:cs="Consolas" w:eastAsia="Consolas" w:hAnsi="Consolas"/>
          <w:sz w:val="20"/>
          <w:szCs w:val="20"/>
          <w:shd w:fill="F1F5F9" w:color="auto" w:val="clear"/>
        </w:rPr>
        <w:t xml:space="preserve">docs/superpowers/specs</w:t>
      </w:r>
      <w:r>
        <w:t xml:space="preserve"> y un plan en la carpeta hermana:
treinta especificaciones y treinta y cuatro planes al 11/09/2026. El plan de etapas consolidado
está en </w:t>
      </w:r>
      <w:r>
        <w:rPr>
          <w:rFonts w:ascii="Consolas" w:cs="Consolas" w:eastAsia="Consolas" w:hAnsi="Consolas"/>
          <w:sz w:val="20"/>
          <w:szCs w:val="20"/>
          <w:shd w:fill="F1F5F9" w:color="auto" w:val="clear"/>
        </w:rPr>
        <w:t xml:space="preserve">docs/07-plan-de-etapas.md</w:t>
      </w:r>
      <w:r>
        <w:t xml:space="preserve">.</w:t>
      </w:r>
    </w:p>
    <w:p>
      <w:pPr>
        <w:pStyle w:val="Heading1"/>
        <w:pageBreakBefore/>
      </w:pPr>
      <w:r>
        <w:t xml:space="preserve">5. Estado al 11/09/2026</w:t>
      </w:r>
    </w:p>
    <w:p>
      <w:pPr>
        <w:pStyle w:val="Heading2"/>
      </w:pPr>
      <w:r>
        <w:t xml:space="preserve">Qué está desplegado</w:t>
      </w:r>
    </w:p>
    <w:p>
      <w:pPr>
        <w:spacing w:after="120"/>
      </w:pPr>
      <w:r>
        <w:t xml:space="preserve">Hay </w:t>
      </w:r>
      <w:r>
        <w:rPr>
          <w:b/>
          <w:bCs/>
        </w:rPr>
        <w:t xml:space="preserve">un solo entorno</w:t>
      </w:r>
      <w:r>
        <w:t xml:space="preserve">: el dominio </w:t>
      </w:r>
      <w:r>
        <w:rPr>
          <w:rFonts w:ascii="Consolas" w:cs="Consolas" w:eastAsia="Consolas" w:hAnsi="Consolas"/>
          <w:sz w:val="20"/>
          <w:szCs w:val="20"/>
          <w:shd w:fill="F1F5F9" w:color="auto" w:val="clear"/>
        </w:rPr>
        <w:t xml:space="preserve">vecinalciudadela.ar</w:t>
      </w:r>
      <w:r>
        <w:t xml:space="preserve">. El entorno de prueba que existió al
principio se dio de baja el 20/08/2026, y lo que la documentación previa dice sobre él es
historia, no el estado actual.</w:t>
      </w:r>
    </w:p>
    <w:p>
      <w:pPr>
        <w:spacing w:after="120"/>
      </w:pPr>
      <w:r>
        <w:t xml:space="preserve">Producción corre el commit </w:t>
      </w:r>
      <w:r>
        <w:rPr>
          <w:rFonts w:ascii="Consolas" w:cs="Consolas" w:eastAsia="Consolas" w:hAnsi="Consolas"/>
          <w:b/>
          <w:bCs/>
          <w:sz w:val="20"/>
          <w:szCs w:val="20"/>
          <w:shd w:fill="F1F5F9" w:color="auto" w:val="clear"/>
        </w:rPr>
        <w:t xml:space="preserve">243aa26</w:t>
      </w:r>
      <w:r>
        <w:t xml:space="preserve"> desde el despliegue del 11/09/2026 —confirmado por el
operador el 12/09/2026—, hecho con el script del repositorio, que aplica las migraciones
pendientes. </w:t>
      </w:r>
      <w:r>
        <w:rPr>
          <w:b/>
          <w:bCs/>
        </w:rPr>
        <w:t xml:space="preserve">Todo lo que estaba integrado a la rama principal hasta ese commit está
desplegado</w:t>
      </w:r>
      <w:r>
        <w:t xml:space="preserve">: el reparto de un cobro entre socios, el número público de reporte, la llave de
colaborador, las pestañas de sección, la navegación móvil del panel de socio y el arreglo de
pagos ajenos en la conciliación. La migración del reparto quedó aplicada en ese mismo despliegue.</w:t>
      </w:r>
    </w:p>
    <w:p>
      <w:pPr>
        <w:spacing w:after="120"/>
      </w:pPr>
      <w:r>
        <w:t xml:space="preserve">Lo único que quedó fuera es la rama de esta serie de documentación, todavía sin integrar. La rama
principal y su copia remota coinciden exactamente, las ramas de las piezas listadas arriba ya se
borraron, y al 11/09/2026 hay 825 commits y 24 migraciones de base de datos.</w:t>
      </w:r>
    </w:p>
    <w:p>
      <w:pPr>
        <w:spacing w:after="120"/>
      </w:pPr>
      <w:r>
        <w:t xml:space="preserve">Conviene saberlo porque tanto el plan de etapas como la sección de prioridad del archivo de
instrucciones </w:t>
      </w:r>
      <w:r>
        <w:rPr>
          <w:b/>
          <w:bCs/>
        </w:rPr>
        <w:t xml:space="preserve">todavía describen varias de esas piezas como pendientes de fusión o de
despliegue</w:t>
      </w:r>
      <w:r>
        <w:t xml:space="preserve">. Esa descripción quedó atrás y está anotada en el archivo de hallazgos. Las cuatro
migraciones más recientes, todas ya aplicadas en producción, son: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16"/>
        <w:gridCol w:w="6756"/>
      </w:tblGrid>
      <w:tr>
        <w:trPr>
          <w:tblHeader/>
        </w:trPr>
        <w:tc>
          <w:tcPr>
            <w:tcW w:type="dxa" w:w="2316"/>
            <w:shd w:fill="DCEBF7" w:color="auto" w:val="clear"/>
            <w:tcMar>
              <w:top w:type="dxa" w:w="60"/>
              <w:left w:type="dxa" w:w="100"/>
              <w:bottom w:type="dxa" w:w="60"/>
              <w:right w:type="dxa" w:w="100"/>
            </w:tcMar>
          </w:tcPr>
          <w:p>
            <w:pPr>
              <w:spacing w:after="0"/>
            </w:pPr>
            <w:r>
              <w:rPr>
                <w:b/>
                <w:bCs/>
              </w:rPr>
              <w:t xml:space="preserve">Migración</w:t>
            </w:r>
          </w:p>
        </w:tc>
        <w:tc>
          <w:tcPr>
            <w:tcW w:type="dxa" w:w="6756"/>
            <w:shd w:fill="DCEBF7" w:color="auto" w:val="clear"/>
            <w:tcMar>
              <w:top w:type="dxa" w:w="60"/>
              <w:left w:type="dxa" w:w="100"/>
              <w:bottom w:type="dxa" w:w="60"/>
              <w:right w:type="dxa" w:w="100"/>
            </w:tcMar>
          </w:tcPr>
          <w:p>
            <w:pPr>
              <w:spacing w:after="0"/>
            </w:pPr>
            <w:r>
              <w:rPr>
                <w:b/>
                <w:bCs/>
              </w:rPr>
              <w:t xml:space="preserve">Qué trae</w:t>
            </w:r>
          </w:p>
        </w:tc>
      </w:tr>
      <w:tr>
        <w:tc>
          <w:tcPr>
            <w:tcW w:type="dxa" w:w="23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add_reports</w:t>
            </w:r>
          </w:p>
        </w:tc>
        <w:tc>
          <w:tcPr>
            <w:tcW w:type="dxa" w:w="6756"/>
            <w:tcMar>
              <w:top w:type="dxa" w:w="60"/>
              <w:left w:type="dxa" w:w="100"/>
              <w:bottom w:type="dxa" w:w="60"/>
              <w:right w:type="dxa" w:w="100"/>
            </w:tcMar>
          </w:tcPr>
          <w:p>
            <w:pPr>
              <w:spacing w:after="0"/>
            </w:pPr>
            <w:r>
              <w:t xml:space="preserve">Las tablas del módulo de reportes</w:t>
            </w:r>
          </w:p>
        </w:tc>
      </w:tr>
      <w:tr>
        <w:tc>
          <w:tcPr>
            <w:tcW w:type="dxa" w:w="23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report_minute_restrict</w:t>
            </w:r>
          </w:p>
        </w:tc>
        <w:tc>
          <w:tcPr>
            <w:tcW w:type="dxa" w:w="6756"/>
            <w:tcMar>
              <w:top w:type="dxa" w:w="60"/>
              <w:left w:type="dxa" w:w="100"/>
              <w:bottom w:type="dxa" w:w="60"/>
              <w:right w:type="dxa" w:w="100"/>
            </w:tcMar>
          </w:tcPr>
          <w:p>
            <w:pPr>
              <w:spacing w:after="0"/>
            </w:pPr>
            <w:r>
              <w:t xml:space="preserve">El acta de presentación de un reporte queda protegida contra borrado</w:t>
            </w:r>
          </w:p>
        </w:tc>
      </w:tr>
      <w:tr>
        <w:tc>
          <w:tcPr>
            <w:tcW w:type="dxa" w:w="23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report_public_number</w:t>
            </w:r>
          </w:p>
        </w:tc>
        <w:tc>
          <w:tcPr>
            <w:tcW w:type="dxa" w:w="6756"/>
            <w:tcMar>
              <w:top w:type="dxa" w:w="60"/>
              <w:left w:type="dxa" w:w="100"/>
              <w:bottom w:type="dxa" w:w="60"/>
              <w:right w:type="dxa" w:w="100"/>
            </w:tcMar>
          </w:tcPr>
          <w:p>
            <w:pPr>
              <w:spacing w:after="0"/>
            </w:pPr>
            <w:r>
              <w:t xml:space="preserve">El número público de reporte, con su serie; </w:t>
            </w:r>
            <w:r>
              <w:rPr>
                <w:b/>
                <w:bCs/>
              </w:rPr>
              <w:t xml:space="preserve">renumera lo ya enviado</w:t>
            </w:r>
          </w:p>
        </w:tc>
      </w:tr>
      <w:tr>
        <w:tc>
          <w:tcPr>
            <w:tcW w:type="dxa" w:w="23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payment_split</w:t>
            </w:r>
          </w:p>
        </w:tc>
        <w:tc>
          <w:tcPr>
            <w:tcW w:type="dxa" w:w="6756"/>
            <w:tcMar>
              <w:top w:type="dxa" w:w="60"/>
              <w:left w:type="dxa" w:w="100"/>
              <w:bottom w:type="dxa" w:w="60"/>
              <w:right w:type="dxa" w:w="100"/>
            </w:tcMar>
          </w:tcPr>
          <w:p>
            <w:pPr>
              <w:spacing w:after="0"/>
            </w:pPr>
            <w:r>
              <w:t xml:space="preserve">El reparto de un cobro entre socios</w:t>
            </w:r>
          </w:p>
        </w:tc>
      </w:tr>
    </w:tbl>
    <w:p>
      <w:pPr>
        <w:spacing w:after="120"/>
      </w:pPr>
    </w:p>
    <w:p>
      <w:pPr>
        <w:pStyle w:val="Heading2"/>
      </w:pPr>
      <w:r>
        <w:t xml:space="preserve">Con qué configuración corre</w:t>
      </w:r>
    </w:p>
    <w:p>
      <w:pPr>
        <w:spacing w:after="120"/>
      </w:pPr>
      <w:r>
        <w:t xml:space="preserve">El dominio corre con </w:t>
      </w:r>
      <w:r>
        <w:rPr>
          <w:b/>
          <w:bCs/>
        </w:rPr>
        <w:t xml:space="preserve">credenciales productivas de Mercado Pago desde el 22/08/2026</w:t>
      </w:r>
      <w:r>
        <w:t xml:space="preserve">, a partir
de un piloto real: un socio se afilió por la web y su débito mensual funciona. La consecuencia
operativa no tiene excepciones: </w:t>
      </w:r>
      <w:r>
        <w:rPr>
          <w:b/>
          <w:bCs/>
        </w:rPr>
        <w:t xml:space="preserve">no se prueban cobros contra el dominio</w:t>
      </w:r>
      <w:r>
        <w:t xml:space="preserve">, porque ahí la plata
es de un vecino. El circuito de pagos se prueba en un entorno local contra el modo de pruebas del
proveedor. El sitio está publicado pero no difundido, y el alta web y la categoría colaborador
están apagadas por configuración.</w:t>
      </w:r>
    </w:p>
    <w:p>
      <w:pPr>
        <w:spacing w:after="120"/>
      </w:pPr>
      <w:r>
        <w:t xml:space="preserve">Del entorno del servidor —qué variables están definidas, qué líneas tiene el crontab, qué llaves
de configuración están encendidas— el repositorio no dice nada, y varias de esas respuestas
cambian por completo el comportamiento del sistema. Hay procedimientos de verificación posterior
al despliegue en las secciones 4.9, 4.10 y 4.11 del runbook: ejecutarlos es la forma más rápida
de confirmar el punto de partida.</w:t>
      </w:r>
    </w:p>
    <w:p>
      <w:pPr>
        <w:pStyle w:val="Heading2"/>
      </w:pPr>
      <w:r>
        <w:t xml:space="preserve">Lo que queda pendiente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32"/>
        <w:gridCol w:w="5133"/>
        <w:gridCol w:w="1407"/>
      </w:tblGrid>
      <w:tr>
        <w:trPr>
          <w:tblHeader/>
        </w:trPr>
        <w:tc>
          <w:tcPr>
            <w:tcW w:type="dxa" w:w="2532"/>
            <w:shd w:fill="DCEBF7" w:color="auto" w:val="clear"/>
            <w:tcMar>
              <w:top w:type="dxa" w:w="60"/>
              <w:left w:type="dxa" w:w="100"/>
              <w:bottom w:type="dxa" w:w="60"/>
              <w:right w:type="dxa" w:w="100"/>
            </w:tcMar>
          </w:tcPr>
          <w:p>
            <w:pPr>
              <w:spacing w:after="0"/>
            </w:pPr>
            <w:r>
              <w:rPr>
                <w:b/>
                <w:bCs/>
              </w:rPr>
              <w:t xml:space="preserve">Pendiente</w:t>
            </w:r>
          </w:p>
        </w:tc>
        <w:tc>
          <w:tcPr>
            <w:tcW w:type="dxa" w:w="5133"/>
            <w:shd w:fill="DCEBF7" w:color="auto" w:val="clear"/>
            <w:tcMar>
              <w:top w:type="dxa" w:w="60"/>
              <w:left w:type="dxa" w:w="100"/>
              <w:bottom w:type="dxa" w:w="60"/>
              <w:right w:type="dxa" w:w="100"/>
            </w:tcMar>
          </w:tcPr>
          <w:p>
            <w:pPr>
              <w:spacing w:after="0"/>
            </w:pPr>
            <w:r>
              <w:rPr>
                <w:b/>
                <w:bCs/>
              </w:rPr>
              <w:t xml:space="preserve">Qué es</w:t>
            </w:r>
          </w:p>
        </w:tc>
        <w:tc>
          <w:tcPr>
            <w:tcW w:type="dxa" w:w="1407"/>
            <w:shd w:fill="DCEBF7" w:color="auto" w:val="clear"/>
            <w:tcMar>
              <w:top w:type="dxa" w:w="60"/>
              <w:left w:type="dxa" w:w="100"/>
              <w:bottom w:type="dxa" w:w="60"/>
              <w:right w:type="dxa" w:w="100"/>
            </w:tcMar>
          </w:tcPr>
          <w:p>
            <w:pPr>
              <w:spacing w:after="0"/>
            </w:pPr>
            <w:r>
              <w:rPr>
                <w:b/>
                <w:bCs/>
              </w:rPr>
              <w:t xml:space="preserve">De quién depende</w:t>
            </w:r>
          </w:p>
        </w:tc>
      </w:tr>
      <w:tr>
        <w:tc>
          <w:tcPr>
            <w:tcW w:type="dxa" w:w="2532"/>
            <w:tcMar>
              <w:top w:type="dxa" w:w="60"/>
              <w:left w:type="dxa" w:w="100"/>
              <w:bottom w:type="dxa" w:w="60"/>
              <w:right w:type="dxa" w:w="100"/>
            </w:tcMar>
          </w:tcPr>
          <w:p>
            <w:pPr>
              <w:spacing w:after="0"/>
            </w:pPr>
            <w:r>
              <w:t xml:space="preserve">Oficialización del estatuto</w:t>
            </w:r>
          </w:p>
        </w:tc>
        <w:tc>
          <w:tcPr>
            <w:tcW w:type="dxa" w:w="5133"/>
            <w:tcMar>
              <w:top w:type="dxa" w:w="60"/>
              <w:left w:type="dxa" w:w="100"/>
              <w:bottom w:type="dxa" w:w="60"/>
              <w:right w:type="dxa" w:w="100"/>
            </w:tcMar>
          </w:tcPr>
          <w:p>
            <w:pPr>
              <w:spacing w:after="0"/>
            </w:pPr>
            <w:r>
              <w:t xml:space="preserve">La reforma del 15/08/2026 sigue sin aprobación del contralor</w:t>
            </w:r>
          </w:p>
        </w:tc>
        <w:tc>
          <w:tcPr>
            <w:tcW w:type="dxa" w:w="1407"/>
            <w:tcMar>
              <w:top w:type="dxa" w:w="60"/>
              <w:left w:type="dxa" w:w="100"/>
              <w:bottom w:type="dxa" w:w="60"/>
              <w:right w:type="dxa" w:w="100"/>
            </w:tcMar>
          </w:tcPr>
          <w:p>
            <w:pPr>
              <w:spacing w:after="0"/>
            </w:pPr>
            <w:r>
              <w:t xml:space="preserve">Externo</w:t>
            </w:r>
          </w:p>
        </w:tc>
      </w:tr>
      <w:tr>
        <w:tc>
          <w:tcPr>
            <w:tcW w:type="dxa" w:w="2532"/>
            <w:tcMar>
              <w:top w:type="dxa" w:w="60"/>
              <w:left w:type="dxa" w:w="100"/>
              <w:bottom w:type="dxa" w:w="60"/>
              <w:right w:type="dxa" w:w="100"/>
            </w:tcMar>
          </w:tcPr>
          <w:p>
            <w:pPr>
              <w:spacing w:after="0"/>
            </w:pPr>
            <w:r>
              <w:t xml:space="preserve">Corregir motivos de baja</w:t>
            </w:r>
          </w:p>
        </w:tc>
        <w:tc>
          <w:tcPr>
            <w:tcW w:type="dxa" w:w="5133"/>
            <w:tcMar>
              <w:top w:type="dxa" w:w="60"/>
              <w:left w:type="dxa" w:w="100"/>
              <w:bottom w:type="dxa" w:w="60"/>
              <w:right w:type="dxa" w:w="100"/>
            </w:tcMar>
          </w:tcPr>
          <w:p>
            <w:pPr>
              <w:spacing w:after="0"/>
            </w:pPr>
            <w:r>
              <w:t xml:space="preserve">El script </w:t>
            </w:r>
            <w:r>
              <w:rPr>
                <w:rFonts w:ascii="Consolas" w:cs="Consolas" w:eastAsia="Consolas" w:hAnsi="Consolas"/>
                <w:sz w:val="20"/>
                <w:szCs w:val="20"/>
                <w:shd w:fill="F1F5F9" w:color="auto" w:val="clear"/>
              </w:rPr>
              <w:t xml:space="preserve">scripts/fix-withdrawal-reasons.ts</w:t>
            </w:r>
            <w:r>
              <w:t xml:space="preserve"> no se corrió en el servidor</w:t>
            </w:r>
          </w:p>
        </w:tc>
        <w:tc>
          <w:tcPr>
            <w:tcW w:type="dxa" w:w="1407"/>
            <w:tcMar>
              <w:top w:type="dxa" w:w="60"/>
              <w:left w:type="dxa" w:w="100"/>
              <w:bottom w:type="dxa" w:w="60"/>
              <w:right w:type="dxa" w:w="100"/>
            </w:tcMar>
          </w:tcPr>
          <w:p>
            <w:pPr>
              <w:spacing w:after="0"/>
            </w:pPr>
            <w:r>
              <w:t xml:space="preserve">Operación</w:t>
            </w:r>
          </w:p>
        </w:tc>
      </w:tr>
      <w:tr>
        <w:tc>
          <w:tcPr>
            <w:tcW w:type="dxa" w:w="2532"/>
            <w:tcMar>
              <w:top w:type="dxa" w:w="60"/>
              <w:left w:type="dxa" w:w="100"/>
              <w:bottom w:type="dxa" w:w="60"/>
              <w:right w:type="dxa" w:w="100"/>
            </w:tcMar>
          </w:tcPr>
          <w:p>
            <w:pPr>
              <w:spacing w:after="0"/>
            </w:pPr>
            <w:r>
              <w:t xml:space="preserve">Borrar la lista blanca de correo</w:t>
            </w:r>
          </w:p>
        </w:tc>
        <w:tc>
          <w:tcPr>
            <w:tcW w:type="dxa" w:w="5133"/>
            <w:tcMar>
              <w:top w:type="dxa" w:w="60"/>
              <w:left w:type="dxa" w:w="100"/>
              <w:bottom w:type="dxa" w:w="60"/>
              <w:right w:type="dxa" w:w="100"/>
            </w:tcMar>
          </w:tcPr>
          <w:p>
            <w:pPr>
              <w:spacing w:after="0"/>
            </w:pPr>
            <w:r>
              <w:t xml:space="preserve">Mientras esté definida, </w:t>
            </w:r>
            <w:r>
              <w:rPr>
                <w:b/>
                <w:bCs/>
              </w:rPr>
              <w:t xml:space="preserve">ningún</w:t>
            </w:r>
            <w:r>
              <w:t xml:space="preserve"> aviso sale fuera de la lista</w:t>
            </w:r>
          </w:p>
        </w:tc>
        <w:tc>
          <w:tcPr>
            <w:tcW w:type="dxa" w:w="1407"/>
            <w:tcMar>
              <w:top w:type="dxa" w:w="60"/>
              <w:left w:type="dxa" w:w="100"/>
              <w:bottom w:type="dxa" w:w="60"/>
              <w:right w:type="dxa" w:w="100"/>
            </w:tcMar>
          </w:tcPr>
          <w:p>
            <w:pPr>
              <w:spacing w:after="0"/>
            </w:pPr>
            <w:r>
              <w:t xml:space="preserve">Operación, al lanzar</w:t>
            </w:r>
          </w:p>
        </w:tc>
      </w:tr>
      <w:tr>
        <w:tc>
          <w:tcPr>
            <w:tcW w:type="dxa" w:w="2532"/>
            <w:tcMar>
              <w:top w:type="dxa" w:w="60"/>
              <w:left w:type="dxa" w:w="100"/>
              <w:bottom w:type="dxa" w:w="60"/>
              <w:right w:type="dxa" w:w="100"/>
            </w:tcMar>
          </w:tcPr>
          <w:p>
            <w:pPr>
              <w:spacing w:after="0"/>
            </w:pPr>
            <w:r>
              <w:t xml:space="preserve">Cargar los destinatarios del resumen</w:t>
            </w:r>
          </w:p>
        </w:tc>
        <w:tc>
          <w:tcPr>
            <w:tcW w:type="dxa" w:w="5133"/>
            <w:tcMar>
              <w:top w:type="dxa" w:w="60"/>
              <w:left w:type="dxa" w:w="100"/>
              <w:bottom w:type="dxa" w:w="60"/>
              <w:right w:type="dxa" w:w="100"/>
            </w:tcMar>
          </w:tcPr>
          <w:p>
            <w:pPr>
              <w:spacing w:after="0"/>
            </w:pPr>
            <w:r>
              <w:t xml:space="preserve">Sin ellos, el resumen diario no se manda a nadie</w:t>
            </w:r>
          </w:p>
        </w:tc>
        <w:tc>
          <w:tcPr>
            <w:tcW w:type="dxa" w:w="1407"/>
            <w:tcMar>
              <w:top w:type="dxa" w:w="60"/>
              <w:left w:type="dxa" w:w="100"/>
              <w:bottom w:type="dxa" w:w="60"/>
              <w:right w:type="dxa" w:w="100"/>
            </w:tcMar>
          </w:tcPr>
          <w:p>
            <w:pPr>
              <w:spacing w:after="0"/>
            </w:pPr>
            <w:r>
              <w:t xml:space="preserve">Operación</w:t>
            </w:r>
          </w:p>
        </w:tc>
      </w:tr>
      <w:tr>
        <w:tc>
          <w:tcPr>
            <w:tcW w:type="dxa" w:w="2532"/>
            <w:tcMar>
              <w:top w:type="dxa" w:w="60"/>
              <w:left w:type="dxa" w:w="100"/>
              <w:bottom w:type="dxa" w:w="60"/>
              <w:right w:type="dxa" w:w="100"/>
            </w:tcMar>
          </w:tcPr>
          <w:p>
            <w:pPr>
              <w:spacing w:after="0"/>
            </w:pPr>
            <w:r>
              <w:t xml:space="preserve">Encender el alta web</w:t>
            </w:r>
          </w:p>
        </w:tc>
        <w:tc>
          <w:tcPr>
            <w:tcW w:type="dxa" w:w="5133"/>
            <w:tcMar>
              <w:top w:type="dxa" w:w="60"/>
              <w:left w:type="dxa" w:w="100"/>
              <w:bottom w:type="dxa" w:w="60"/>
              <w:right w:type="dxa" w:w="100"/>
            </w:tcMar>
          </w:tcPr>
          <w:p>
            <w:pPr>
              <w:spacing w:after="0"/>
            </w:pPr>
            <w:r>
              <w:t xml:space="preserve">Está apagada por configuración</w:t>
            </w:r>
          </w:p>
        </w:tc>
        <w:tc>
          <w:tcPr>
            <w:tcW w:type="dxa" w:w="1407"/>
            <w:tcMar>
              <w:top w:type="dxa" w:w="60"/>
              <w:left w:type="dxa" w:w="100"/>
              <w:bottom w:type="dxa" w:w="60"/>
              <w:right w:type="dxa" w:w="100"/>
            </w:tcMar>
          </w:tcPr>
          <w:p>
            <w:pPr>
              <w:spacing w:after="0"/>
            </w:pPr>
            <w:r>
              <w:t xml:space="preserve">Operación, al lanzar</w:t>
            </w:r>
          </w:p>
        </w:tc>
      </w:tr>
      <w:tr>
        <w:tc>
          <w:tcPr>
            <w:tcW w:type="dxa" w:w="2532"/>
            <w:tcMar>
              <w:top w:type="dxa" w:w="60"/>
              <w:left w:type="dxa" w:w="100"/>
              <w:bottom w:type="dxa" w:w="60"/>
              <w:right w:type="dxa" w:w="100"/>
            </w:tcMar>
          </w:tcPr>
          <w:p>
            <w:pPr>
              <w:spacing w:after="0"/>
            </w:pPr>
            <w:r>
              <w:t xml:space="preserve">Encender la llave de colaborador</w:t>
            </w:r>
          </w:p>
        </w:tc>
        <w:tc>
          <w:tcPr>
            <w:tcW w:type="dxa" w:w="5133"/>
            <w:tcMar>
              <w:top w:type="dxa" w:w="60"/>
              <w:left w:type="dxa" w:w="100"/>
              <w:bottom w:type="dxa" w:w="60"/>
              <w:right w:type="dxa" w:w="100"/>
            </w:tcMar>
          </w:tcPr>
          <w:p>
            <w:pPr>
              <w:spacing w:after="0"/>
            </w:pPr>
            <w:r>
              <w:t xml:space="preserve">La categoría es de la reforma; se prende el día de la oficialización</w:t>
            </w:r>
          </w:p>
        </w:tc>
        <w:tc>
          <w:tcPr>
            <w:tcW w:type="dxa" w:w="1407"/>
            <w:tcMar>
              <w:top w:type="dxa" w:w="60"/>
              <w:left w:type="dxa" w:w="100"/>
              <w:bottom w:type="dxa" w:w="60"/>
              <w:right w:type="dxa" w:w="100"/>
            </w:tcMar>
          </w:tcPr>
          <w:p>
            <w:pPr>
              <w:spacing w:after="0"/>
            </w:pPr>
            <w:r>
              <w:t xml:space="preserve">Operación</w:t>
            </w:r>
          </w:p>
        </w:tc>
      </w:tr>
      <w:tr>
        <w:tc>
          <w:tcPr>
            <w:tcW w:type="dxa" w:w="2532"/>
            <w:tcMar>
              <w:top w:type="dxa" w:w="60"/>
              <w:left w:type="dxa" w:w="100"/>
              <w:bottom w:type="dxa" w:w="60"/>
              <w:right w:type="dxa" w:w="100"/>
            </w:tcMar>
          </w:tcPr>
          <w:p>
            <w:pPr>
              <w:spacing w:after="0"/>
            </w:pPr>
            <w:r>
              <w:t xml:space="preserve">Acta marco de admisión digital</w:t>
            </w:r>
          </w:p>
        </w:tc>
        <w:tc>
          <w:tcPr>
            <w:tcW w:type="dxa" w:w="5133"/>
            <w:tcMar>
              <w:top w:type="dxa" w:w="60"/>
              <w:left w:type="dxa" w:w="100"/>
              <w:bottom w:type="dxa" w:w="60"/>
              <w:right w:type="dxa" w:w="100"/>
            </w:tcMar>
          </w:tcPr>
          <w:p>
            <w:pPr>
              <w:spacing w:after="0"/>
            </w:pPr>
            <w:r>
              <w:t xml:space="preserve">La resolución que respalda el alta web (</w:t>
            </w:r>
            <w:r>
              <w:rPr>
                <w:rFonts w:ascii="Consolas" w:cs="Consolas" w:eastAsia="Consolas" w:hAnsi="Consolas"/>
                <w:sz w:val="20"/>
                <w:szCs w:val="20"/>
                <w:shd w:fill="F1F5F9" w:color="auto" w:val="clear"/>
              </w:rPr>
              <w:t xml:space="preserve">REG-12</w:t>
            </w:r>
            <w:r>
              <w:t xml:space="preserve">)</w:t>
            </w:r>
          </w:p>
        </w:tc>
        <w:tc>
          <w:tcPr>
            <w:tcW w:type="dxa" w:w="1407"/>
            <w:tcMar>
              <w:top w:type="dxa" w:w="60"/>
              <w:left w:type="dxa" w:w="100"/>
              <w:bottom w:type="dxa" w:w="60"/>
              <w:right w:type="dxa" w:w="100"/>
            </w:tcMar>
          </w:tcPr>
          <w:p>
            <w:pPr>
              <w:spacing w:after="0"/>
            </w:pPr>
            <w:r>
              <w:t xml:space="preserve">Comisión Directiva</w:t>
            </w:r>
          </w:p>
        </w:tc>
      </w:tr>
      <w:tr>
        <w:tc>
          <w:tcPr>
            <w:tcW w:type="dxa" w:w="2532"/>
            <w:tcMar>
              <w:top w:type="dxa" w:w="60"/>
              <w:left w:type="dxa" w:w="100"/>
              <w:bottom w:type="dxa" w:w="60"/>
              <w:right w:type="dxa" w:w="100"/>
            </w:tcMar>
          </w:tcPr>
          <w:p>
            <w:pPr>
              <w:spacing w:after="0"/>
            </w:pPr>
            <w:r>
              <w:t xml:space="preserve">Vincular suscripciones preexistentes</w:t>
            </w:r>
          </w:p>
        </w:tc>
        <w:tc>
          <w:tcPr>
            <w:tcW w:type="dxa" w:w="5133"/>
            <w:tcMar>
              <w:top w:type="dxa" w:w="60"/>
              <w:left w:type="dxa" w:w="100"/>
              <w:bottom w:type="dxa" w:w="60"/>
              <w:right w:type="dxa" w:w="100"/>
            </w:tcMar>
          </w:tcPr>
          <w:p>
            <w:pPr>
              <w:spacing w:after="0"/>
            </w:pPr>
            <w:r>
              <w:t xml:space="preserve">Las creadas a mano en el panel del proveedor</w:t>
            </w:r>
          </w:p>
        </w:tc>
        <w:tc>
          <w:tcPr>
            <w:tcW w:type="dxa" w:w="1407"/>
            <w:tcMar>
              <w:top w:type="dxa" w:w="60"/>
              <w:left w:type="dxa" w:w="100"/>
              <w:bottom w:type="dxa" w:w="60"/>
              <w:right w:type="dxa" w:w="100"/>
            </w:tcMar>
          </w:tcPr>
          <w:p>
            <w:pPr>
              <w:spacing w:after="0"/>
            </w:pPr>
            <w:r>
              <w:t xml:space="preserve">Operación</w:t>
            </w:r>
          </w:p>
        </w:tc>
      </w:tr>
      <w:tr>
        <w:tc>
          <w:tcPr>
            <w:tcW w:type="dxa" w:w="2532"/>
            <w:tcMar>
              <w:top w:type="dxa" w:w="60"/>
              <w:left w:type="dxa" w:w="100"/>
              <w:bottom w:type="dxa" w:w="60"/>
              <w:right w:type="dxa" w:w="100"/>
            </w:tcMar>
          </w:tcPr>
          <w:p>
            <w:pPr>
              <w:spacing w:after="0"/>
            </w:pPr>
            <w:r>
              <w:t xml:space="preserve">Convocar el re-empadronamiento</w:t>
            </w:r>
          </w:p>
        </w:tc>
        <w:tc>
          <w:tcPr>
            <w:tcW w:type="dxa" w:w="5133"/>
            <w:tcMar>
              <w:top w:type="dxa" w:w="60"/>
              <w:left w:type="dxa" w:w="100"/>
              <w:bottom w:type="dxa" w:w="60"/>
              <w:right w:type="dxa" w:w="100"/>
            </w:tcMar>
          </w:tcPr>
          <w:p>
            <w:pPr>
              <w:spacing w:after="0"/>
            </w:pPr>
            <w:r>
              <w:t xml:space="preserve">Dentro de los noventa días de la oficialización</w:t>
            </w:r>
          </w:p>
        </w:tc>
        <w:tc>
          <w:tcPr>
            <w:tcW w:type="dxa" w:w="1407"/>
            <w:tcMar>
              <w:top w:type="dxa" w:w="60"/>
              <w:left w:type="dxa" w:w="100"/>
              <w:bottom w:type="dxa" w:w="60"/>
              <w:right w:type="dxa" w:w="100"/>
            </w:tcMar>
          </w:tcPr>
          <w:p>
            <w:pPr>
              <w:spacing w:after="0"/>
            </w:pPr>
            <w:r>
              <w:t xml:space="preserve">Comisión Directiva</w:t>
            </w:r>
          </w:p>
        </w:tc>
      </w:tr>
      <w:tr>
        <w:tc>
          <w:tcPr>
            <w:tcW w:type="dxa" w:w="2532"/>
            <w:tcMar>
              <w:top w:type="dxa" w:w="60"/>
              <w:left w:type="dxa" w:w="100"/>
              <w:bottom w:type="dxa" w:w="60"/>
              <w:right w:type="dxa" w:w="100"/>
            </w:tcMar>
          </w:tcPr>
          <w:p>
            <w:pPr>
              <w:spacing w:after="0"/>
            </w:pPr>
            <w:r>
              <w:t xml:space="preserve">Integrar esta serie de documentación</w:t>
            </w:r>
          </w:p>
        </w:tc>
        <w:tc>
          <w:tcPr>
            <w:tcW w:type="dxa" w:w="5133"/>
            <w:tcMar>
              <w:top w:type="dxa" w:w="60"/>
              <w:left w:type="dxa" w:w="100"/>
              <w:bottom w:type="dxa" w:w="60"/>
              <w:right w:type="dxa" w:w="100"/>
            </w:tcMar>
          </w:tcPr>
          <w:p>
            <w:pPr>
              <w:spacing w:after="0"/>
            </w:pPr>
            <w:r>
              <w:t xml:space="preserve">Vive en su propia rama</w:t>
            </w:r>
          </w:p>
        </w:tc>
        <w:tc>
          <w:tcPr>
            <w:tcW w:type="dxa" w:w="1407"/>
            <w:tcMar>
              <w:top w:type="dxa" w:w="60"/>
              <w:left w:type="dxa" w:w="100"/>
              <w:bottom w:type="dxa" w:w="60"/>
              <w:right w:type="dxa" w:w="100"/>
            </w:tcMar>
          </w:tcPr>
          <w:p>
            <w:pPr>
              <w:spacing w:after="0"/>
            </w:pPr>
            <w:r>
              <w:t xml:space="preserve">Desarrollo</w:t>
            </w:r>
          </w:p>
        </w:tc>
      </w:tr>
    </w:tbl>
    <w:p>
      <w:pPr>
        <w:spacing w:after="120"/>
      </w:pPr>
    </w:p>
    <w:p>
      <w:pPr>
        <w:spacing w:after="120"/>
      </w:pPr>
      <w:r>
        <w:t xml:space="preserve">Hay además un hallazgo abierto registrado el 11/09/2026: </w:t>
      </w:r>
      <w:r>
        <w:rPr>
          <w:b/>
          <w:bCs/>
        </w:rPr>
        <w:t xml:space="preserve">los avisos del proveedor de pagos
llegan tarde o no llegan</w:t>
      </w:r>
      <w:r>
        <w:t xml:space="preserve">, y por ahora el dinero lo asienta la conciliación diaria. La red
funciona —para eso está—, pero la causa no está cerrada.</w:t>
      </w:r>
    </w:p>
    <w:p>
      <w:pPr>
        <w:spacing w:after="120"/>
      </w:pPr>
      <w:r>
        <w:t xml:space="preserve">Una advertencia sobre los identificadores: en esta serie aparecen números de socio, de pago, de
recibo y de acta, y </w:t>
      </w:r>
      <w:r>
        <w:rPr>
          <w:b/>
          <w:bCs/>
        </w:rPr>
        <w:t xml:space="preserve">los que salen de pruebas locales no aplican a producción</w:t>
      </w:r>
      <w:r>
        <w:t xml:space="preserve">. La base local se
sembró y se limpió varias veces, tiene fichas inventadas y series reiniciadas.</w:t>
      </w:r>
    </w:p>
    <w:p>
      <w:pPr>
        <w:pStyle w:val="Heading2"/>
      </w:pPr>
      <w:r>
        <w:t xml:space="preserve">Dónde está en el código</w:t>
      </w:r>
    </w:p>
    <w:p>
      <w:pPr>
        <w:spacing w:after="120"/>
      </w:pPr>
      <w:r>
        <w:t xml:space="preserve">La lista de migraciones está en </w:t>
      </w:r>
      <w:r>
        <w:rPr>
          <w:rFonts w:ascii="Consolas" w:cs="Consolas" w:eastAsia="Consolas" w:hAnsi="Consolas"/>
          <w:sz w:val="20"/>
          <w:szCs w:val="20"/>
          <w:shd w:fill="F1F5F9" w:color="auto" w:val="clear"/>
        </w:rPr>
        <w:t xml:space="preserve">prisma/migrations</w:t>
      </w:r>
      <w:r>
        <w:t xml:space="preserve">. La verificación posterior a cada despliegue
vive en </w:t>
      </w:r>
      <w:r>
        <w:rPr>
          <w:rFonts w:ascii="Consolas" w:cs="Consolas" w:eastAsia="Consolas" w:hAnsi="Consolas"/>
          <w:sz w:val="20"/>
          <w:szCs w:val="20"/>
          <w:shd w:fill="F1F5F9" w:color="auto" w:val="clear"/>
        </w:rPr>
        <w:t xml:space="preserve">docs/10-runbook-dominio-productivo.md</w:t>
      </w:r>
      <w:r>
        <w:t xml:space="preserve">, y el checklist de lanzamiento, al final de
</w:t>
      </w:r>
      <w:r>
        <w:rPr>
          <w:rFonts w:ascii="Consolas" w:cs="Consolas" w:eastAsia="Consolas" w:hAnsi="Consolas"/>
          <w:sz w:val="20"/>
          <w:szCs w:val="20"/>
          <w:shd w:fill="F1F5F9" w:color="auto" w:val="clear"/>
        </w:rPr>
        <w:t xml:space="preserve">docs/07-plan-de-etapas.md</w:t>
      </w:r>
      <w:r>
        <w:t xml:space="preserve">.</w:t>
      </w:r>
    </w:p>
    <w:p>
      <w:pPr>
        <w:pStyle w:val="Heading1"/>
        <w:pageBreakBefore/>
      </w:pPr>
      <w:r>
        <w:t xml:space="preserve">6. Cómo se desarrolló</w:t>
      </w:r>
    </w:p>
    <w:p>
      <w:pPr>
        <w:spacing w:after="120"/>
      </w:pPr>
      <w:r>
        <w:t xml:space="preserve">Conviene saberlo porque hay archivos que parecen documentación y en realidad son contrato.</w:t>
      </w:r>
    </w:p>
    <w:p>
      <w:pPr>
        <w:pStyle w:val="Heading2"/>
      </w:pPr>
      <w:r>
        <w:t xml:space="preserve">El archivo de instrucciones es un contrato, no un README</w:t>
      </w:r>
    </w:p>
    <w:p>
      <w:pPr>
        <w:spacing w:after="120"/>
      </w:pPr>
      <w:r>
        <w:t xml:space="preserve">En la raíz hay un archivo de instrucciones del proyecto que se lee antes de tocar código. No
describe el sistema: </w:t>
      </w:r>
      <w:r>
        <w:rPr>
          <w:b/>
          <w:bCs/>
        </w:rPr>
        <w:t xml:space="preserve">fija decisiones</w:t>
      </w:r>
      <w:r>
        <w:t xml:space="preserve">. Dice qué tecnologías no se negocian, cómo se escriben las
fechas y los importes, dónde van los archivos subidos, y acumula los patrones que estrenó cada
módulo con la lección que los produjo. Un cambio que lo contradiga lo actualiza en el mismo commit.</w:t>
      </w:r>
    </w:p>
    <w:p>
      <w:pPr>
        <w:pStyle w:val="Heading2"/>
      </w:pPr>
      <w:r>
        <w:t xml:space="preserve">Especificación, plan, ejecución</w:t>
      </w:r>
    </w:p>
    <w:p>
      <w:pPr>
        <w:spacing w:after="120"/>
      </w:pPr>
      <w:r>
        <w:t xml:space="preserve">Cada módulo siguió el mismo circuito: una </w:t>
      </w:r>
      <w:r>
        <w:rPr>
          <w:b/>
          <w:bCs/>
        </w:rPr>
        <w:t xml:space="preserve">especificación</w:t>
      </w:r>
      <w:r>
        <w:t xml:space="preserve"> acordada con el operador, un plan en
tareas con criterios de aceptación, ejecución tarea por tarea con tests primero, y una revisión
final antes de fusionar. Especificaciones y planes están versionados en </w:t>
      </w:r>
      <w:r>
        <w:rPr>
          <w:rFonts w:ascii="Consolas" w:cs="Consolas" w:eastAsia="Consolas" w:hAnsi="Consolas"/>
          <w:sz w:val="20"/>
          <w:szCs w:val="20"/>
          <w:shd w:fill="F1F5F9" w:color="auto" w:val="clear"/>
        </w:rPr>
        <w:t xml:space="preserve">docs/superpowers</w:t>
      </w:r>
      <w:r>
        <w:t xml:space="preserve">, con la
fecha en el nombre. Hay una tercera carpeta, la del espacio de trabajo de las sesiones, que </w:t>
      </w:r>
      <w:r>
        <w:rPr>
          <w:b/>
          <w:bCs/>
        </w:rPr>
        <w:t xml:space="preserve">está
excluida del control de versiones</w:t>
      </w:r>
      <w:r>
        <w:t xml:space="preserve">: una referencia a un archivo inexistente suele venir de ahí.</w:t>
      </w:r>
    </w:p>
    <w:p>
      <w:pPr>
        <w:pStyle w:val="Heading2"/>
      </w:pPr>
      <w:r>
        <w:t xml:space="preserve">Qué es un "test de fuente"</w:t>
      </w:r>
    </w:p>
    <w:p>
      <w:pPr>
        <w:spacing w:after="120"/>
      </w:pPr>
      <w:r>
        <w:t xml:space="preserve">Trece archivos de la suite no ejercitan una función: </w:t>
      </w:r>
      <w:r>
        <w:rPr>
          <w:b/>
          <w:bCs/>
        </w:rPr>
        <w:t xml:space="preserve">leen el repositorio</w:t>
      </w:r>
      <w:r>
        <w:t xml:space="preserve">. Verifican que cada
renglón de la navegación tenga su archivo de pantalla en disco, que una política de seguridad
declarada en una ruta coincida con la entrada correspondiente de la configuración del framework,
que un módulo que debe ser puro no tenga ni un solo </w:t>
      </w:r>
      <w:r>
        <w:rPr>
          <w:rFonts w:ascii="Consolas" w:cs="Consolas" w:eastAsia="Consolas" w:hAnsi="Consolas"/>
          <w:sz w:val="20"/>
          <w:szCs w:val="20"/>
          <w:shd w:fill="F1F5F9" w:color="auto" w:val="clear"/>
        </w:rPr>
        <w:t xml:space="preserve">import</w:t>
      </w:r>
      <w:r>
        <w:t xml:space="preserve">, o que una convención de estilo no se
revierta.</w:t>
      </w:r>
    </w:p>
    <w:p>
      <w:pPr>
        <w:spacing w:after="120"/>
      </w:pPr>
      <w:r>
        <w:t xml:space="preserve">Existen porque hay convenciones que ningún test de comportamiento sostiene: un renglón que apunta
a una pantalla inexistente no rompe nada hasta que alguien hace clic, y una política declarada
pero no repuesta en la configuración no llega al navegador, sin error. Un test que falla al
renombrar una carpeta suele ser uno de estos.</w:t>
      </w:r>
    </w:p>
    <w:p>
      <w:pPr>
        <w:spacing w:after="120"/>
      </w:pPr>
      <w:r>
        <w:t xml:space="preserve">La suite son 297 archivos y 4183 casos (14 omitidos sin base de datos); cuatro archivos corren
contra una base real. </w:t>
      </w:r>
      <w:r>
        <w:rPr>
          <w:b/>
          <w:bCs/>
        </w:rPr>
        <w:t xml:space="preserve">No hay integración continua</w:t>
      </w:r>
      <w:r>
        <w:t xml:space="preserve">: los tests se corren a mano.</w:t>
      </w:r>
    </w:p>
    <w:p>
      <w:pPr>
        <w:pStyle w:val="Heading2"/>
      </w:pPr>
      <w:r>
        <w:t xml:space="preserve">El despliegue</w:t>
      </w:r>
    </w:p>
    <w:p>
      <w:pPr>
        <w:spacing w:after="120"/>
      </w:pPr>
      <w:r>
        <w:t xml:space="preserve">Es por repositorio: se publica a la copia remota, se extrae en el servidor y se ejecuta un script
que instala dependencias, aplica migraciones, corre la semilla —idempotente, y lo único que crea
las llaves de configuración que estrena cada módulo—, compila y reinicia el proceso, con un gestor
de procesos en una única instancia detrás de un servidor web. </w:t>
      </w:r>
      <w:r>
        <w:rPr>
          <w:b/>
          <w:bCs/>
        </w:rPr>
        <w:t xml:space="preserve">Una sola instancia no es un
descuido</w:t>
      </w:r>
      <w:r>
        <w:t xml:space="preserve">: hay exclusiones mutuas y limitadores que viven en la memoria del proceso.</w:t>
      </w:r>
    </w:p>
    <w:p>
      <w:pPr>
        <w:pStyle w:val="Heading2"/>
      </w:pPr>
      <w:r>
        <w:t xml:space="preserve">Dónde está en el código</w:t>
      </w:r>
    </w:p>
    <w:p>
      <w:pPr>
        <w:spacing w:after="120"/>
      </w:pPr>
      <w:r>
        <w:t xml:space="preserve">El contrato está en </w:t>
      </w:r>
      <w:r>
        <w:rPr>
          <w:rFonts w:ascii="Consolas" w:cs="Consolas" w:eastAsia="Consolas" w:hAnsi="Consolas"/>
          <w:sz w:val="20"/>
          <w:szCs w:val="20"/>
          <w:shd w:fill="F1F5F9" w:color="auto" w:val="clear"/>
        </w:rPr>
        <w:t xml:space="preserve">CLAUDE.md</w:t>
      </w:r>
      <w:r>
        <w:t xml:space="preserve">, en la raíz. Al lado vive el script de despliegue, </w:t>
      </w:r>
      <w:r>
        <w:rPr>
          <w:rFonts w:ascii="Consolas" w:cs="Consolas" w:eastAsia="Consolas" w:hAnsi="Consolas"/>
          <w:sz w:val="20"/>
          <w:szCs w:val="20"/>
          <w:shd w:fill="F1F5F9" w:color="auto" w:val="clear"/>
        </w:rPr>
        <w:t xml:space="preserve">deploy.sh</w:t>
      </w:r>
      <w:r>
        <w:t xml:space="preserve">.
Las especificaciones y los planes están versionados en </w:t>
      </w:r>
      <w:r>
        <w:rPr>
          <w:rFonts w:ascii="Consolas" w:cs="Consolas" w:eastAsia="Consolas" w:hAnsi="Consolas"/>
          <w:sz w:val="20"/>
          <w:szCs w:val="20"/>
          <w:shd w:fill="F1F5F9" w:color="auto" w:val="clear"/>
        </w:rPr>
        <w:t xml:space="preserve">docs/superpowers</w:t>
      </w:r>
      <w:r>
        <w:t xml:space="preserve">.</w:t>
      </w:r>
    </w:p>
    <w:p>
      <w:pPr>
        <w:pStyle w:val="Heading1"/>
        <w:pageBreakBefore/>
      </w:pPr>
      <w:r>
        <w:t xml:space="preserve">7. Guía de lectura y glosario</w:t>
      </w:r>
    </w:p>
    <w:p>
      <w:pPr>
        <w:pStyle w:val="Heading2"/>
      </w:pPr>
      <w:r>
        <w:t xml:space="preserve">Qué documento abrir según la tarea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6435"/>
        <w:gridCol w:w="2637"/>
      </w:tblGrid>
      <w:tr>
        <w:trPr>
          <w:tblHeader/>
        </w:trPr>
        <w:tc>
          <w:tcPr>
            <w:tcW w:type="dxa" w:w="6435"/>
            <w:shd w:fill="DCEBF7" w:color="auto" w:val="clear"/>
            <w:tcMar>
              <w:top w:type="dxa" w:w="60"/>
              <w:left w:type="dxa" w:w="100"/>
              <w:bottom w:type="dxa" w:w="60"/>
              <w:right w:type="dxa" w:w="100"/>
            </w:tcMar>
          </w:tcPr>
          <w:p>
            <w:pPr>
              <w:spacing w:after="0"/>
            </w:pPr>
            <w:r>
              <w:rPr>
                <w:b/>
                <w:bCs/>
              </w:rPr>
              <w:t xml:space="preserve">Para…</w:t>
            </w:r>
          </w:p>
        </w:tc>
        <w:tc>
          <w:tcPr>
            <w:tcW w:type="dxa" w:w="2637"/>
            <w:shd w:fill="DCEBF7" w:color="auto" w:val="clear"/>
            <w:tcMar>
              <w:top w:type="dxa" w:w="60"/>
              <w:left w:type="dxa" w:w="100"/>
              <w:bottom w:type="dxa" w:w="60"/>
              <w:right w:type="dxa" w:w="100"/>
            </w:tcMar>
          </w:tcPr>
          <w:p>
            <w:pPr>
              <w:spacing w:after="0"/>
            </w:pPr>
            <w:r>
              <w:rPr>
                <w:b/>
                <w:bCs/>
              </w:rPr>
              <w:t xml:space="preserve">Abrir</w:t>
            </w:r>
          </w:p>
        </w:tc>
      </w:tr>
      <w:tr>
        <w:tc>
          <w:tcPr>
            <w:tcW w:type="dxa" w:w="6435"/>
            <w:tcMar>
              <w:top w:type="dxa" w:w="60"/>
              <w:left w:type="dxa" w:w="100"/>
              <w:bottom w:type="dxa" w:w="60"/>
              <w:right w:type="dxa" w:w="100"/>
            </w:tcMar>
          </w:tcPr>
          <w:p>
            <w:pPr>
              <w:spacing w:after="0"/>
            </w:pPr>
            <w:r>
              <w:t xml:space="preserve">Entender el sistema por primera vez</w:t>
            </w:r>
          </w:p>
        </w:tc>
        <w:tc>
          <w:tcPr>
            <w:tcW w:type="dxa" w:w="2637"/>
            <w:tcMar>
              <w:top w:type="dxa" w:w="60"/>
              <w:left w:type="dxa" w:w="100"/>
              <w:bottom w:type="dxa" w:w="60"/>
              <w:right w:type="dxa" w:w="100"/>
            </w:tcMar>
          </w:tcPr>
          <w:p>
            <w:pPr>
              <w:spacing w:after="0"/>
            </w:pPr>
            <w:r>
              <w:t xml:space="preserve">Este documento (T1)</w:t>
            </w:r>
          </w:p>
        </w:tc>
      </w:tr>
      <w:tr>
        <w:tc>
          <w:tcPr>
            <w:tcW w:type="dxa" w:w="6435"/>
            <w:tcMar>
              <w:top w:type="dxa" w:w="60"/>
              <w:left w:type="dxa" w:w="100"/>
              <w:bottom w:type="dxa" w:w="60"/>
              <w:right w:type="dxa" w:w="100"/>
            </w:tcMar>
          </w:tcPr>
          <w:p>
            <w:pPr>
              <w:spacing w:after="0"/>
            </w:pPr>
            <w:r>
              <w:t xml:space="preserve">Levantar el proyecto en una máquina local</w:t>
            </w:r>
          </w:p>
        </w:tc>
        <w:tc>
          <w:tcPr>
            <w:tcW w:type="dxa" w:w="2637"/>
            <w:tcMar>
              <w:top w:type="dxa" w:w="60"/>
              <w:left w:type="dxa" w:w="100"/>
              <w:bottom w:type="dxa" w:w="60"/>
              <w:right w:type="dxa" w:w="100"/>
            </w:tcMar>
          </w:tcPr>
          <w:p>
            <w:pPr>
              <w:spacing w:after="0"/>
            </w:pPr>
            <w:r>
              <w:t xml:space="preserve">T3, capítulo 1</w:t>
            </w:r>
          </w:p>
        </w:tc>
      </w:tr>
      <w:tr>
        <w:tc>
          <w:tcPr>
            <w:tcW w:type="dxa" w:w="6435"/>
            <w:tcMar>
              <w:top w:type="dxa" w:w="60"/>
              <w:left w:type="dxa" w:w="100"/>
              <w:bottom w:type="dxa" w:w="60"/>
              <w:right w:type="dxa" w:w="100"/>
            </w:tcMar>
          </w:tcPr>
          <w:p>
            <w:pPr>
              <w:spacing w:after="0"/>
            </w:pPr>
            <w:r>
              <w:t xml:space="preserve">Agregar una pantalla o una acción de servidor</w:t>
            </w:r>
          </w:p>
        </w:tc>
        <w:tc>
          <w:tcPr>
            <w:tcW w:type="dxa" w:w="2637"/>
            <w:tcMar>
              <w:top w:type="dxa" w:w="60"/>
              <w:left w:type="dxa" w:w="100"/>
              <w:bottom w:type="dxa" w:w="60"/>
              <w:right w:type="dxa" w:w="100"/>
            </w:tcMar>
          </w:tcPr>
          <w:p>
            <w:pPr>
              <w:spacing w:after="0"/>
            </w:pPr>
            <w:r>
              <w:t xml:space="preserve">T2, capítulos 2, 4, 6 y 7</w:t>
            </w:r>
          </w:p>
        </w:tc>
      </w:tr>
      <w:tr>
        <w:tc>
          <w:tcPr>
            <w:tcW w:type="dxa" w:w="6435"/>
            <w:tcMar>
              <w:top w:type="dxa" w:w="60"/>
              <w:left w:type="dxa" w:w="100"/>
              <w:bottom w:type="dxa" w:w="60"/>
              <w:right w:type="dxa" w:w="100"/>
            </w:tcMar>
          </w:tcPr>
          <w:p>
            <w:pPr>
              <w:spacing w:after="0"/>
            </w:pPr>
            <w:r>
              <w:t xml:space="preserve">Tocar el esquema o escribir una migración</w:t>
            </w:r>
          </w:p>
        </w:tc>
        <w:tc>
          <w:tcPr>
            <w:tcW w:type="dxa" w:w="2637"/>
            <w:tcMar>
              <w:top w:type="dxa" w:w="60"/>
              <w:left w:type="dxa" w:w="100"/>
              <w:bottom w:type="dxa" w:w="60"/>
              <w:right w:type="dxa" w:w="100"/>
            </w:tcMar>
          </w:tcPr>
          <w:p>
            <w:pPr>
              <w:spacing w:after="0"/>
            </w:pPr>
            <w:r>
              <w:t xml:space="preserve">T4</w:t>
            </w:r>
          </w:p>
        </w:tc>
      </w:tr>
      <w:tr>
        <w:tc>
          <w:tcPr>
            <w:tcW w:type="dxa" w:w="6435"/>
            <w:tcMar>
              <w:top w:type="dxa" w:w="60"/>
              <w:left w:type="dxa" w:w="100"/>
              <w:bottom w:type="dxa" w:w="60"/>
              <w:right w:type="dxa" w:w="100"/>
            </w:tcMar>
          </w:tcPr>
          <w:p>
            <w:pPr>
              <w:spacing w:after="0"/>
            </w:pPr>
            <w:r>
              <w:t xml:space="preserve">Entender cómo entra la plata, o arreglar un pago</w:t>
            </w:r>
          </w:p>
        </w:tc>
        <w:tc>
          <w:tcPr>
            <w:tcW w:type="dxa" w:w="2637"/>
            <w:tcMar>
              <w:top w:type="dxa" w:w="60"/>
              <w:left w:type="dxa" w:w="100"/>
              <w:bottom w:type="dxa" w:w="60"/>
              <w:right w:type="dxa" w:w="100"/>
            </w:tcMar>
          </w:tcPr>
          <w:p>
            <w:pPr>
              <w:spacing w:after="0"/>
            </w:pPr>
            <w:r>
              <w:t xml:space="preserve">T5, capítulos 2, 4 y 7</w:t>
            </w:r>
          </w:p>
        </w:tc>
      </w:tr>
      <w:tr>
        <w:tc>
          <w:tcPr>
            <w:tcW w:type="dxa" w:w="6435"/>
            <w:tcMar>
              <w:top w:type="dxa" w:w="60"/>
              <w:left w:type="dxa" w:w="100"/>
              <w:bottom w:type="dxa" w:w="60"/>
              <w:right w:type="dxa" w:w="100"/>
            </w:tcMar>
          </w:tcPr>
          <w:p>
            <w:pPr>
              <w:spacing w:after="0"/>
            </w:pPr>
            <w:r>
              <w:t xml:space="preserve">Entender el padrón, el alta web o los reportes</w:t>
            </w:r>
          </w:p>
        </w:tc>
        <w:tc>
          <w:tcPr>
            <w:tcW w:type="dxa" w:w="2637"/>
            <w:tcMar>
              <w:top w:type="dxa" w:w="60"/>
              <w:left w:type="dxa" w:w="100"/>
              <w:bottom w:type="dxa" w:w="60"/>
              <w:right w:type="dxa" w:w="100"/>
            </w:tcMar>
          </w:tcPr>
          <w:p>
            <w:pPr>
              <w:spacing w:after="0"/>
            </w:pPr>
            <w:r>
              <w:t xml:space="preserve">T6, capítulos 1, 2, 4 y 5</w:t>
            </w:r>
          </w:p>
        </w:tc>
      </w:tr>
      <w:tr>
        <w:tc>
          <w:tcPr>
            <w:tcW w:type="dxa" w:w="6435"/>
            <w:tcMar>
              <w:top w:type="dxa" w:w="60"/>
              <w:left w:type="dxa" w:w="100"/>
              <w:bottom w:type="dxa" w:w="60"/>
              <w:right w:type="dxa" w:w="100"/>
            </w:tcMar>
          </w:tcPr>
          <w:p>
            <w:pPr>
              <w:spacing w:after="0"/>
            </w:pPr>
            <w:r>
              <w:t xml:space="preserve">Desplegar, operar o diagnosticar una caída</w:t>
            </w:r>
          </w:p>
        </w:tc>
        <w:tc>
          <w:tcPr>
            <w:tcW w:type="dxa" w:w="2637"/>
            <w:tcMar>
              <w:top w:type="dxa" w:w="60"/>
              <w:left w:type="dxa" w:w="100"/>
              <w:bottom w:type="dxa" w:w="60"/>
              <w:right w:type="dxa" w:w="100"/>
            </w:tcMar>
          </w:tcPr>
          <w:p>
            <w:pPr>
              <w:spacing w:after="0"/>
            </w:pPr>
            <w:r>
              <w:t xml:space="preserve">T3, capítulos 4 a 10</w:t>
            </w:r>
          </w:p>
        </w:tc>
      </w:tr>
      <w:tr>
        <w:tc>
          <w:tcPr>
            <w:tcW w:type="dxa" w:w="6435"/>
            <w:tcMar>
              <w:top w:type="dxa" w:w="60"/>
              <w:left w:type="dxa" w:w="100"/>
              <w:bottom w:type="dxa" w:w="60"/>
              <w:right w:type="dxa" w:w="100"/>
            </w:tcMar>
          </w:tcPr>
          <w:p>
            <w:pPr>
              <w:spacing w:after="0"/>
            </w:pPr>
            <w:r>
              <w:t xml:space="preserve">Responder una pregunta de privacidad o seguridad</w:t>
            </w:r>
          </w:p>
        </w:tc>
        <w:tc>
          <w:tcPr>
            <w:tcW w:type="dxa" w:w="2637"/>
            <w:tcMar>
              <w:top w:type="dxa" w:w="60"/>
              <w:left w:type="dxa" w:w="100"/>
              <w:bottom w:type="dxa" w:w="60"/>
              <w:right w:type="dxa" w:w="100"/>
            </w:tcMar>
          </w:tcPr>
          <w:p>
            <w:pPr>
              <w:spacing w:after="0"/>
            </w:pPr>
            <w:r>
              <w:t xml:space="preserve">T7</w:t>
            </w:r>
          </w:p>
        </w:tc>
      </w:tr>
      <w:tr>
        <w:tc>
          <w:tcPr>
            <w:tcW w:type="dxa" w:w="6435"/>
            <w:tcMar>
              <w:top w:type="dxa" w:w="60"/>
              <w:left w:type="dxa" w:w="100"/>
              <w:bottom w:type="dxa" w:w="60"/>
              <w:right w:type="dxa" w:w="100"/>
            </w:tcMar>
          </w:tcPr>
          <w:p>
            <w:pPr>
              <w:spacing w:after="0"/>
            </w:pPr>
            <w:r>
              <w:t xml:space="preserve">Explicarle el sistema a la Comisión, a un socio o a un vecino</w:t>
            </w:r>
          </w:p>
        </w:tc>
        <w:tc>
          <w:tcPr>
            <w:tcW w:type="dxa" w:w="2637"/>
            <w:tcMar>
              <w:top w:type="dxa" w:w="60"/>
              <w:left w:type="dxa" w:w="100"/>
              <w:bottom w:type="dxa" w:w="60"/>
              <w:right w:type="dxa" w:w="100"/>
            </w:tcMar>
          </w:tcPr>
          <w:p>
            <w:pPr>
              <w:spacing w:after="0"/>
            </w:pPr>
            <w:r>
              <w:t xml:space="preserve">M1, M2 y M3</w:t>
            </w:r>
          </w:p>
        </w:tc>
      </w:tr>
    </w:tbl>
    <w:p>
      <w:pPr>
        <w:spacing w:after="120"/>
      </w:pPr>
    </w:p>
    <w:p>
      <w:pPr>
        <w:pStyle w:val="Heading2"/>
      </w:pPr>
      <w:r>
        <w:t xml:space="preserve">Glosario</w:t>
      </w:r>
    </w:p>
    <w:p>
      <w:pPr>
        <w:spacing w:after="120"/>
      </w:pPr>
      <w:r>
        <w:t xml:space="preserve">En el orden en que suelen aparecer al leer el sistema, no alfabético.</w:t>
      </w:r>
    </w:p>
    <w:p>
      <w:pPr>
        <w:pStyle w:val="ListParagraph"/>
        <w:numPr>
          <w:ilvl w:val="0"/>
          <w:numId w:val="3"/>
        </w:numPr>
        <w:spacing w:after="60"/>
      </w:pPr>
      <w:r>
        <w:rPr>
          <w:b/>
          <w:bCs/>
        </w:rPr>
        <w:t xml:space="preserve">Acta.</w:t>
      </w:r>
      <w:r>
        <w:t xml:space="preserve"> El documento de una reunión de la Comisión Directiva o de una asamblea, con tipo y
número. Ninguna alta, baja, cambio de categoría, exención ni cierre de libro existe sin una.</w:t>
      </w:r>
    </w:p>
    <w:p>
      <w:pPr>
        <w:pStyle w:val="ListParagraph"/>
        <w:numPr>
          <w:ilvl w:val="0"/>
          <w:numId w:val="3"/>
        </w:numPr>
        <w:spacing w:after="60"/>
      </w:pPr>
      <w:r>
        <w:rPr>
          <w:b/>
          <w:bCs/>
        </w:rPr>
        <w:t xml:space="preserve">Socio activo, adherente, colaborador.</w:t>
      </w:r>
      <w:r>
        <w:t xml:space="preserve"> Las tres categorías que se ofrecen desde la web: el
activo paga cuota obligatoria y tiene derechos plenos, el adherente paga una cuota voluntaria y
el colaborador reside fuera del barrio. El modelo contempla además cadete, honorario y vitalicio.</w:t>
      </w:r>
    </w:p>
    <w:p>
      <w:pPr>
        <w:pStyle w:val="ListParagraph"/>
        <w:numPr>
          <w:ilvl w:val="0"/>
          <w:numId w:val="3"/>
        </w:numPr>
        <w:spacing w:after="60"/>
      </w:pPr>
      <w:r>
        <w:rPr>
          <w:b/>
          <w:bCs/>
        </w:rPr>
        <w:t xml:space="preserve">Libro y padrón.</w:t>
      </w:r>
      <w:r>
        <w:t xml:space="preserve"> El libro es el registro de asociados, espejado del físico; el padrón, la
lista de socios de un libro abierto. Al cerrarse un libro, sus socios vigentes migran
renumerados al siguiente.</w:t>
      </w:r>
    </w:p>
    <w:p>
      <w:pPr>
        <w:pStyle w:val="ListParagraph"/>
        <w:numPr>
          <w:ilvl w:val="0"/>
          <w:numId w:val="3"/>
        </w:numPr>
        <w:spacing w:after="60"/>
      </w:pPr>
      <w:r>
        <w:rPr>
          <w:b/>
          <w:bCs/>
        </w:rPr>
        <w:t xml:space="preserve">Cuota de ingreso.</w:t>
      </w:r>
      <w:r>
        <w:t xml:space="preserve"> El pago de quien se asocia, de un mes de cuota de su categoría. No es
reembolsable y </w:t>
      </w:r>
      <w:r>
        <w:rPr>
          <w:b/>
          <w:bCs/>
        </w:rPr>
        <w:t xml:space="preserve">cubre el mes en que ingresó</w:t>
      </w:r>
      <w:r>
        <w:t xml:space="preserve">, así que nadie le reclama ese mes.</w:t>
      </w:r>
    </w:p>
    <w:p>
      <w:pPr>
        <w:pStyle w:val="ListParagraph"/>
        <w:numPr>
          <w:ilvl w:val="0"/>
          <w:numId w:val="3"/>
        </w:numPr>
        <w:spacing w:after="60"/>
      </w:pPr>
      <w:r>
        <w:rPr>
          <w:b/>
          <w:bCs/>
        </w:rPr>
        <w:t xml:space="preserve">Devengo.</w:t>
      </w:r>
      <w:r>
        <w:t xml:space="preserve"> El proceso mensual que crea la fila de cuota de quien corresponda. No cobra.</w:t>
      </w:r>
    </w:p>
    <w:p>
      <w:pPr>
        <w:pStyle w:val="ListParagraph"/>
        <w:numPr>
          <w:ilvl w:val="0"/>
          <w:numId w:val="3"/>
        </w:numPr>
        <w:spacing w:after="60"/>
      </w:pPr>
      <w:r>
        <w:rPr>
          <w:b/>
          <w:bCs/>
        </w:rPr>
        <w:t xml:space="preserve">Piso de cobertura.</w:t>
      </w:r>
      <w:r>
        <w:t xml:space="preserve"> Desde qué mes se le puede reclamar cuota a un socio. Lo comparten el
devengo, el aviso de deuda y la imputación: es una sola función.</w:t>
      </w:r>
    </w:p>
    <w:p>
      <w:pPr>
        <w:pStyle w:val="ListParagraph"/>
        <w:numPr>
          <w:ilvl w:val="0"/>
          <w:numId w:val="3"/>
        </w:numPr>
        <w:spacing w:after="60"/>
      </w:pPr>
      <w:r>
        <w:rPr>
          <w:b/>
          <w:bCs/>
        </w:rPr>
        <w:t xml:space="preserve">Valor vigente.</w:t>
      </w:r>
      <w:r>
        <w:t xml:space="preserve"> El monto que rige hoy, leído de la tabla de valores. Las cuotas no guardan
monto: </w:t>
      </w:r>
      <w:r>
        <w:rPr>
          <w:b/>
          <w:bCs/>
        </w:rPr>
        <w:t xml:space="preserve">la deuda se valúa al valor vigente al pagar</w:t>
      </w:r>
      <w:r>
        <w:t xml:space="preserve">. Un valor nuevo se registra encima del
anterior y nunca se edita, como un acta.</w:t>
      </w:r>
    </w:p>
    <w:p>
      <w:pPr>
        <w:pStyle w:val="ListParagraph"/>
        <w:numPr>
          <w:ilvl w:val="0"/>
          <w:numId w:val="3"/>
        </w:numPr>
        <w:spacing w:after="60"/>
      </w:pPr>
      <w:r>
        <w:rPr>
          <w:b/>
          <w:bCs/>
        </w:rPr>
        <w:t xml:space="preserve">Imputación.</w:t>
      </w:r>
      <w:r>
        <w:t xml:space="preserve"> Decidir qué cuotas cancela un pago: siempre </w:t>
      </w:r>
      <w:r>
        <w:rPr>
          <w:b/>
          <w:bCs/>
        </w:rPr>
        <w:t xml:space="preserve">las más viejas primero</w:t>
      </w:r>
      <w:r>
        <w:t xml:space="preserve">.</w:t>
      </w:r>
    </w:p>
    <w:p>
      <w:pPr>
        <w:pStyle w:val="ListParagraph"/>
        <w:numPr>
          <w:ilvl w:val="0"/>
          <w:numId w:val="3"/>
        </w:numPr>
        <w:spacing w:after="60"/>
      </w:pPr>
      <w:r>
        <w:rPr>
          <w:b/>
          <w:bCs/>
        </w:rPr>
        <w:t xml:space="preserve">Recibo.</w:t>
      </w:r>
      <w:r>
        <w:t xml:space="preserve"> El comprobante numerado de un cobro de cuota social, con serie por año y </w:t>
      </w:r>
      <w:r>
        <w:rPr>
          <w:b/>
          <w:bCs/>
        </w:rPr>
        <w:t xml:space="preserve">sin
huecos</w:t>
      </w:r>
      <w:r>
        <w:t xml:space="preserve">: el número se pide dentro de la transacción y el PDF se escribe después de
confirmarla.</w:t>
      </w:r>
    </w:p>
    <w:p>
      <w:pPr>
        <w:pStyle w:val="ListParagraph"/>
        <w:numPr>
          <w:ilvl w:val="0"/>
          <w:numId w:val="3"/>
        </w:numPr>
        <w:spacing w:after="60"/>
      </w:pPr>
      <w:r>
        <w:rPr>
          <w:b/>
          <w:bCs/>
        </w:rPr>
        <w:t xml:space="preserve">Exención de cuota.</w:t>
      </w:r>
      <w:r>
        <w:t xml:space="preserve"> El beneficio que la Comisión otorga por acta: se materializa como cuotas
exentas del período y bloquea los cinco caminos de cobro de ese socio.</w:t>
      </w:r>
    </w:p>
    <w:p>
      <w:pPr>
        <w:pStyle w:val="ListParagraph"/>
        <w:numPr>
          <w:ilvl w:val="0"/>
          <w:numId w:val="3"/>
        </w:numPr>
        <w:spacing w:after="60"/>
      </w:pPr>
      <w:r>
        <w:rPr>
          <w:b/>
          <w:bCs/>
        </w:rPr>
        <w:t xml:space="preserve">Débito automático.</w:t>
      </w:r>
      <w:r>
        <w:t xml:space="preserve"> El cobro mensual recurrente de Mercado Pago, que en el vocabulario del
proveedor se llama </w:t>
      </w:r>
      <w:r>
        <w:rPr>
          <w:b/>
          <w:bCs/>
        </w:rPr>
        <w:t xml:space="preserve">preapproval</w:t>
      </w:r>
      <w:r>
        <w:t xml:space="preserve">. Un débito paga una cuota.</w:t>
      </w:r>
    </w:p>
    <w:p>
      <w:pPr>
        <w:pStyle w:val="ListParagraph"/>
        <w:numPr>
          <w:ilvl w:val="0"/>
          <w:numId w:val="3"/>
        </w:numPr>
        <w:spacing w:after="60"/>
      </w:pPr>
      <w:r>
        <w:rPr>
          <w:b/>
          <w:bCs/>
        </w:rPr>
        <w:t xml:space="preserve">Link de pago.</w:t>
      </w:r>
      <w:r>
        <w:t xml:space="preserve"> Una preferencia de un solo uso para pagar varias cuotas. Lleva la cantidad, no
la lista de períodos, y </w:t>
      </w:r>
      <w:r>
        <w:rPr>
          <w:b/>
          <w:bCs/>
        </w:rPr>
        <w:t xml:space="preserve">vence a las 72 horas</w:t>
      </w:r>
      <w:r>
        <w:t xml:space="preserve"> para no congelar el precio.</w:t>
      </w:r>
    </w:p>
    <w:p>
      <w:pPr>
        <w:pStyle w:val="ListParagraph"/>
        <w:numPr>
          <w:ilvl w:val="0"/>
          <w:numId w:val="3"/>
        </w:numPr>
        <w:spacing w:after="60"/>
      </w:pPr>
      <w:r>
        <w:rPr>
          <w:b/>
          <w:bCs/>
        </w:rPr>
        <w:t xml:space="preserve">Bandeja (sin conciliar).</w:t>
      </w:r>
      <w:r>
        <w:t xml:space="preserve"> La cola de cobros que entraron y el sistema no pudo imputar.</w:t>
      </w:r>
    </w:p>
    <w:p>
      <w:pPr>
        <w:pStyle w:val="ListParagraph"/>
        <w:numPr>
          <w:ilvl w:val="0"/>
          <w:numId w:val="3"/>
        </w:numPr>
        <w:spacing w:after="60"/>
      </w:pPr>
      <w:r>
        <w:rPr>
          <w:b/>
          <w:bCs/>
        </w:rPr>
        <w:t xml:space="preserve">Reparto.</w:t>
      </w:r>
      <w:r>
        <w:t xml:space="preserve"> Resolver una fila de la bandeja repartiendo un cobro entre hasta cinco socios: un
pago portador con el identificador del proveedor y partes que cuelgan de él.</w:t>
      </w:r>
    </w:p>
    <w:p>
      <w:pPr>
        <w:pStyle w:val="ListParagraph"/>
        <w:numPr>
          <w:ilvl w:val="0"/>
          <w:numId w:val="3"/>
        </w:numPr>
        <w:spacing w:after="60"/>
      </w:pPr>
      <w:r>
        <w:rPr>
          <w:b/>
          <w:bCs/>
        </w:rPr>
        <w:t xml:space="preserve">Conciliación.</w:t>
      </w:r>
      <w:r>
        <w:t xml:space="preserve"> La tarea diaria que busca en el proveedor lo que no llegó por aviso.</w:t>
      </w:r>
    </w:p>
    <w:p>
      <w:pPr>
        <w:pStyle w:val="ListParagraph"/>
        <w:numPr>
          <w:ilvl w:val="0"/>
          <w:numId w:val="3"/>
        </w:numPr>
        <w:spacing w:after="60"/>
      </w:pPr>
      <w:r>
        <w:rPr>
          <w:b/>
          <w:bCs/>
        </w:rPr>
        <w:t xml:space="preserve">Cesantía por mora.</w:t>
      </w:r>
      <w:r>
        <w:t xml:space="preserve"> La baja por atraso que habilita el estatuto: individual desde la ficha o
en lote desde Deudores, siempre con acta.</w:t>
      </w:r>
    </w:p>
    <w:p>
      <w:pPr>
        <w:pStyle w:val="ListParagraph"/>
        <w:numPr>
          <w:ilvl w:val="0"/>
          <w:numId w:val="3"/>
        </w:numPr>
        <w:spacing w:after="60"/>
      </w:pPr>
      <w:r>
        <w:rPr>
          <w:b/>
          <w:bCs/>
        </w:rPr>
        <w:t xml:space="preserve">Cohorte.</w:t>
      </w:r>
      <w:r>
        <w:t xml:space="preserve"> La lista de convocados, que </w:t>
      </w:r>
      <w:r>
        <w:rPr>
          <w:b/>
          <w:bCs/>
        </w:rPr>
        <w:t xml:space="preserve">se congela al convocar</w:t>
      </w:r>
      <w:r>
        <w:t xml:space="preserve">.</w:t>
      </w:r>
    </w:p>
    <w:p>
      <w:pPr>
        <w:pStyle w:val="ListParagraph"/>
        <w:numPr>
          <w:ilvl w:val="0"/>
          <w:numId w:val="3"/>
        </w:numPr>
        <w:spacing w:after="60"/>
      </w:pPr>
      <w:r>
        <w:rPr>
          <w:b/>
          <w:bCs/>
        </w:rPr>
        <w:t xml:space="preserve">Presentación.</w:t>
      </w:r>
      <w:r>
        <w:t xml:space="preserve"> Lo que un convocado envía; vive aparte de la ficha hasta que la Comisión valida.</w:t>
      </w:r>
    </w:p>
    <w:p>
      <w:pPr>
        <w:pStyle w:val="ListParagraph"/>
        <w:numPr>
          <w:ilvl w:val="0"/>
          <w:numId w:val="3"/>
        </w:numPr>
        <w:spacing w:after="60"/>
      </w:pPr>
      <w:r>
        <w:rPr>
          <w:b/>
          <w:bCs/>
        </w:rPr>
        <w:t xml:space="preserve">Cartelera.</w:t>
      </w:r>
      <w:r>
        <w:t xml:space="preserve"> La vía subsidiaria para quien no tiene casilla utilizable: se fija un cartel en la
sede, el plazo corre en </w:t>
      </w:r>
      <w:r>
        <w:rPr>
          <w:b/>
          <w:bCs/>
        </w:rPr>
        <w:t xml:space="preserve">días hábiles</w:t>
      </w:r>
      <w:r>
        <w:t xml:space="preserve"> y la fecha que acredita es la del vencimiento.</w:t>
      </w:r>
    </w:p>
    <w:p>
      <w:pPr>
        <w:pStyle w:val="ListParagraph"/>
        <w:numPr>
          <w:ilvl w:val="0"/>
          <w:numId w:val="3"/>
        </w:numPr>
        <w:spacing w:after="60"/>
      </w:pPr>
      <w:r>
        <w:rPr>
          <w:b/>
          <w:bCs/>
        </w:rPr>
        <w:t xml:space="preserve">Reporte, reclamo, iniciativa.</w:t>
      </w:r>
      <w:r>
        <w:t xml:space="preserve"> Un reporte es lo que un vecino presenta. Si es un </w:t>
      </w:r>
      <w:r>
        <w:rPr>
          <w:b/>
          <w:bCs/>
        </w:rPr>
        <w:t xml:space="preserve">reclamo</w:t>
      </w:r>
      <w:r>
        <w:t xml:space="preserve">,
la asociación lo presenta ante un organismo; si es una </w:t>
      </w:r>
      <w:r>
        <w:rPr>
          <w:b/>
          <w:bCs/>
        </w:rPr>
        <w:t xml:space="preserve">iniciativa</w:t>
      </w:r>
      <w:r>
        <w:t xml:space="preserve">, la trata la Comisión
Directiva. Prometerle un organismo a quien propuso una idea es prometer algo que no se va a
hacer, y por eso el texto de cada pantalla se revisa en los dos casos.</w:t>
      </w:r>
    </w:p>
    <w:p>
      <w:pPr>
        <w:pStyle w:val="ListParagraph"/>
        <w:numPr>
          <w:ilvl w:val="0"/>
          <w:numId w:val="3"/>
        </w:numPr>
        <w:spacing w:after="60"/>
      </w:pPr>
      <w:r>
        <w:rPr>
          <w:b/>
          <w:bCs/>
        </w:rPr>
        <w:t xml:space="preserve">Token de un solo uso.</w:t>
      </w:r>
      <w:r>
        <w:t xml:space="preserve"> El enlace con el que se retoma un trámite, se verifica un correo o se
crea una contraseña. Tiene vencimiento y se consume de forma atómica.</w:t>
      </w:r>
    </w:p>
    <w:p>
      <w:pPr>
        <w:pStyle w:val="ListParagraph"/>
        <w:numPr>
          <w:ilvl w:val="0"/>
          <w:numId w:val="3"/>
        </w:numPr>
        <w:spacing w:after="60"/>
      </w:pPr>
      <w:r>
        <w:rPr>
          <w:b/>
          <w:bCs/>
        </w:rPr>
        <w:t xml:space="preserve">Lista blanca de correo.</w:t>
      </w:r>
      <w:r>
        <w:t xml:space="preserve"> Una variable de entorno que, si está definida, hace que </w:t>
      </w:r>
      <w:r>
        <w:rPr>
          <w:b/>
          <w:bCs/>
        </w:rPr>
        <w:t xml:space="preserve">ningún</w:t>
      </w:r>
      <w:r>
        <w:t xml:space="preserve">
correo salga fuera de las direcciones que enumera. Envuelve el transporte, así que ninguna
pantalla puede olvidarse de aplicarla.</w:t>
      </w:r>
    </w:p>
    <w:p>
      <w:pPr>
        <w:pStyle w:val="ListParagraph"/>
        <w:numPr>
          <w:ilvl w:val="0"/>
          <w:numId w:val="3"/>
        </w:numPr>
        <w:spacing w:after="60"/>
      </w:pPr>
      <w:r>
        <w:rPr>
          <w:b/>
          <w:bCs/>
        </w:rPr>
        <w:t xml:space="preserve">Cron.</w:t>
      </w:r>
      <w:r>
        <w:t xml:space="preserve"> Cada tarea programada que el servidor dispara por pedido web, protegida por un secreto
compartido: cinco de aplicación —conciliación, devengo, mantenimiento de solicitudes, resumen
diario y recordatorio— más el respaldo. Una que decide no actuar </w:t>
      </w:r>
      <w:r>
        <w:rPr>
          <w:b/>
          <w:bCs/>
        </w:rPr>
        <w:t xml:space="preserve">no cuenta como corrida</w:t>
      </w:r>
      <w:r>
        <w:t xml:space="preserve">.</w:t>
      </w:r>
    </w:p>
    <w:p>
      <w:pPr>
        <w:pStyle w:val="ListParagraph"/>
        <w:numPr>
          <w:ilvl w:val="0"/>
          <w:numId w:val="3"/>
        </w:numPr>
        <w:spacing w:after="60"/>
      </w:pPr>
      <w:r>
        <w:rPr>
          <w:b/>
          <w:bCs/>
        </w:rPr>
        <w:t xml:space="preserve">Salud.</w:t>
      </w:r>
      <w:r>
        <w:t xml:space="preserve"> La pantalla que resume el estado con un veredicto de dos niveles: </w:t>
      </w:r>
      <w:r>
        <w:rPr>
          <w:i/>
          <w:iCs/>
        </w:rPr>
        <w:t xml:space="preserve">actuar</w:t>
      </w:r>
      <w:r>
        <w:t xml:space="preserve"> (algo roto
con una salida que lo apaga, el único rojo) y </w:t>
      </w:r>
      <w:r>
        <w:rPr>
          <w:i/>
          <w:iCs/>
        </w:rPr>
        <w:t xml:space="preserve">revisar</w:t>
      </w:r>
      <w:r>
        <w:t xml:space="preserve">. Ningún indicador nace en rojo.</w:t>
      </w:r>
    </w:p>
    <w:p>
      <w:pPr>
        <w:pStyle w:val="ListParagraph"/>
        <w:numPr>
          <w:ilvl w:val="0"/>
          <w:numId w:val="3"/>
        </w:numPr>
        <w:spacing w:after="60"/>
      </w:pPr>
      <w:r>
        <w:rPr>
          <w:b/>
          <w:bCs/>
        </w:rPr>
        <w:t xml:space="preserve">Auditoría.</w:t>
      </w:r>
      <w:r>
        <w:t xml:space="preserve"> El registro de toda acción sensible del panel. Guarda identificadores, códigos,
conteos y montos; nunca nombres, documentos, correos ni domicilios.</w:t>
      </w:r>
    </w:p>
    <w:p>
      <w:pPr>
        <w:spacing w:after="60"/>
      </w:pPr>
    </w:p>
    <w:p>
      <w:pPr>
        <w:pStyle w:val="Heading2"/>
      </w:pPr>
      <w:r>
        <w:t xml:space="preserve">Dónde está en el código</w:t>
      </w:r>
    </w:p>
    <w:p>
      <w:pPr>
        <w:spacing w:after="120"/>
      </w:pPr>
      <w:r>
        <w:t xml:space="preserve">Cada término tiene su capítulo en los documentos 4 a 7, y su implementación bajo </w:t>
      </w:r>
      <w:r>
        <w:rPr>
          <w:rFonts w:ascii="Consolas" w:cs="Consolas" w:eastAsia="Consolas" w:hAnsi="Consolas"/>
          <w:sz w:val="20"/>
          <w:szCs w:val="20"/>
          <w:shd w:fill="F1F5F9" w:color="auto" w:val="clear"/>
        </w:rPr>
        <w:t xml:space="preserve">src/lib</w:t>
      </w:r>
      <w:r>
        <w:t xml:space="preserve">.</w:t>
      </w:r>
    </w:p>
    <w:p>
      <w:pPr>
        <w:pStyle w:val="Heading1"/>
        <w:pageBreakBefore/>
      </w:pPr>
      <w:r>
        <w:t xml:space="preserve">Documentos relacionados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926"/>
        <w:gridCol w:w="6146"/>
      </w:tblGrid>
      <w:tr>
        <w:trPr>
          <w:tblHeader/>
        </w:trPr>
        <w:tc>
          <w:tcPr>
            <w:tcW w:type="dxa" w:w="2926"/>
            <w:shd w:fill="DCEBF7" w:color="auto" w:val="clear"/>
            <w:tcMar>
              <w:top w:type="dxa" w:w="60"/>
              <w:left w:type="dxa" w:w="100"/>
              <w:bottom w:type="dxa" w:w="60"/>
              <w:right w:type="dxa" w:w="100"/>
            </w:tcMar>
          </w:tcPr>
          <w:p>
            <w:pPr>
              <w:spacing w:after="0"/>
            </w:pPr>
            <w:r>
              <w:rPr>
                <w:b/>
                <w:bCs/>
              </w:rPr>
              <w:t xml:space="preserve">Documento</w:t>
            </w:r>
          </w:p>
        </w:tc>
        <w:tc>
          <w:tcPr>
            <w:tcW w:type="dxa" w:w="6146"/>
            <w:shd w:fill="DCEBF7" w:color="auto" w:val="clear"/>
            <w:tcMar>
              <w:top w:type="dxa" w:w="60"/>
              <w:left w:type="dxa" w:w="100"/>
              <w:bottom w:type="dxa" w:w="60"/>
              <w:right w:type="dxa" w:w="100"/>
            </w:tcMar>
          </w:tcPr>
          <w:p>
            <w:pPr>
              <w:spacing w:after="0"/>
            </w:pPr>
            <w:r>
              <w:rPr>
                <w:b/>
                <w:bCs/>
              </w:rPr>
              <w:t xml:space="preserve">Contenido</w:t>
            </w:r>
          </w:p>
        </w:tc>
      </w:tr>
      <w:tr>
        <w:tc>
          <w:tcPr>
            <w:tcW w:type="dxa" w:w="2926"/>
            <w:tcMar>
              <w:top w:type="dxa" w:w="60"/>
              <w:left w:type="dxa" w:w="100"/>
              <w:bottom w:type="dxa" w:w="60"/>
              <w:right w:type="dxa" w:w="100"/>
            </w:tcMar>
          </w:tcPr>
          <w:p>
            <w:pPr>
              <w:spacing w:after="0"/>
            </w:pPr>
            <w:r>
              <w:t xml:space="preserve">T1 — Visión y panorama</w:t>
            </w:r>
          </w:p>
        </w:tc>
        <w:tc>
          <w:tcPr>
            <w:tcW w:type="dxa" w:w="6146"/>
            <w:tcMar>
              <w:top w:type="dxa" w:w="60"/>
              <w:left w:type="dxa" w:w="100"/>
              <w:bottom w:type="dxa" w:w="60"/>
              <w:right w:type="dxa" w:w="100"/>
            </w:tcMar>
          </w:tcPr>
          <w:p>
            <w:pPr>
              <w:spacing w:after="0"/>
            </w:pPr>
            <w:r>
              <w:t xml:space="preserve">Este documento</w:t>
            </w:r>
          </w:p>
        </w:tc>
      </w:tr>
      <w:tr>
        <w:tc>
          <w:tcPr>
            <w:tcW w:type="dxa" w:w="2926"/>
            <w:tcMar>
              <w:top w:type="dxa" w:w="60"/>
              <w:left w:type="dxa" w:w="100"/>
              <w:bottom w:type="dxa" w:w="60"/>
              <w:right w:type="dxa" w:w="100"/>
            </w:tcMar>
          </w:tcPr>
          <w:p>
            <w:pPr>
              <w:spacing w:after="0"/>
            </w:pPr>
            <w:r>
              <w:t xml:space="preserve">T2 — Arquitectura y código</w:t>
            </w:r>
          </w:p>
        </w:tc>
        <w:tc>
          <w:tcPr>
            <w:tcW w:type="dxa" w:w="6146"/>
            <w:tcMar>
              <w:top w:type="dxa" w:w="60"/>
              <w:left w:type="dxa" w:w="100"/>
              <w:bottom w:type="dxa" w:w="60"/>
              <w:right w:type="dxa" w:w="100"/>
            </w:tcMar>
          </w:tcPr>
          <w:p>
            <w:pPr>
              <w:spacing w:after="0"/>
            </w:pPr>
            <w:r>
              <w:t xml:space="preserve">Stack, zonas, capas, patrones transversales y componentes compartidos</w:t>
            </w:r>
          </w:p>
        </w:tc>
      </w:tr>
      <w:tr>
        <w:tc>
          <w:tcPr>
            <w:tcW w:type="dxa" w:w="2926"/>
            <w:tcMar>
              <w:top w:type="dxa" w:w="60"/>
              <w:left w:type="dxa" w:w="100"/>
              <w:bottom w:type="dxa" w:w="60"/>
              <w:right w:type="dxa" w:w="100"/>
            </w:tcMar>
          </w:tcPr>
          <w:p>
            <w:pPr>
              <w:spacing w:after="0"/>
            </w:pPr>
            <w:r>
              <w:t xml:space="preserve">T3 — Instalación, despliegue y operación</w:t>
            </w:r>
          </w:p>
        </w:tc>
        <w:tc>
          <w:tcPr>
            <w:tcW w:type="dxa" w:w="6146"/>
            <w:tcMar>
              <w:top w:type="dxa" w:w="60"/>
              <w:left w:type="dxa" w:w="100"/>
              <w:bottom w:type="dxa" w:w="60"/>
              <w:right w:type="dxa" w:w="100"/>
            </w:tcMar>
          </w:tcPr>
          <w:p>
            <w:pPr>
              <w:spacing w:after="0"/>
            </w:pPr>
            <w:r>
              <w:t xml:space="preserve">Entorno local, variables, producción, crons, respaldos, salud y runbooks</w:t>
            </w:r>
          </w:p>
        </w:tc>
      </w:tr>
      <w:tr>
        <w:tc>
          <w:tcPr>
            <w:tcW w:type="dxa" w:w="2926"/>
            <w:tcMar>
              <w:top w:type="dxa" w:w="60"/>
              <w:left w:type="dxa" w:w="100"/>
              <w:bottom w:type="dxa" w:w="60"/>
              <w:right w:type="dxa" w:w="100"/>
            </w:tcMar>
          </w:tcPr>
          <w:p>
            <w:pPr>
              <w:spacing w:after="0"/>
            </w:pPr>
            <w:r>
              <w:t xml:space="preserve">T4 — Modelo de datos</w:t>
            </w:r>
          </w:p>
        </w:tc>
        <w:tc>
          <w:tcPr>
            <w:tcW w:type="dxa" w:w="6146"/>
            <w:tcMar>
              <w:top w:type="dxa" w:w="60"/>
              <w:left w:type="dxa" w:w="100"/>
              <w:bottom w:type="dxa" w:w="60"/>
              <w:right w:type="dxa" w:w="100"/>
            </w:tcMar>
          </w:tcPr>
          <w:p>
            <w:pPr>
              <w:spacing w:after="0"/>
            </w:pPr>
            <w:r>
              <w:t xml:space="preserve">Esquema entero por dominios, enums, invariantes y migraciones</w:t>
            </w:r>
          </w:p>
        </w:tc>
      </w:tr>
      <w:tr>
        <w:tc>
          <w:tcPr>
            <w:tcW w:type="dxa" w:w="2926"/>
            <w:tcMar>
              <w:top w:type="dxa" w:w="60"/>
              <w:left w:type="dxa" w:w="100"/>
              <w:bottom w:type="dxa" w:w="60"/>
              <w:right w:type="dxa" w:w="100"/>
            </w:tcMar>
          </w:tcPr>
          <w:p>
            <w:pPr>
              <w:spacing w:after="0"/>
            </w:pPr>
            <w:r>
              <w:t xml:space="preserve">T5 — Tesorería y Mercado Pago</w:t>
            </w:r>
          </w:p>
        </w:tc>
        <w:tc>
          <w:tcPr>
            <w:tcW w:type="dxa" w:w="6146"/>
            <w:tcMar>
              <w:top w:type="dxa" w:w="60"/>
              <w:left w:type="dxa" w:w="100"/>
              <w:bottom w:type="dxa" w:w="60"/>
              <w:right w:type="dxa" w:w="100"/>
            </w:tcMar>
          </w:tcPr>
          <w:p>
            <w:pPr>
              <w:spacing w:after="0"/>
            </w:pPr>
            <w:r>
              <w:t xml:space="preserve">Cuotas, cobros, recibos, exención, integración de pagos y correos</w:t>
            </w:r>
          </w:p>
        </w:tc>
      </w:tr>
      <w:tr>
        <w:tc>
          <w:tcPr>
            <w:tcW w:type="dxa" w:w="2926"/>
            <w:tcMar>
              <w:top w:type="dxa" w:w="60"/>
              <w:left w:type="dxa" w:w="100"/>
              <w:bottom w:type="dxa" w:w="60"/>
              <w:right w:type="dxa" w:w="100"/>
            </w:tcMar>
          </w:tcPr>
          <w:p>
            <w:pPr>
              <w:spacing w:after="0"/>
            </w:pPr>
            <w:r>
              <w:t xml:space="preserve">T6 — Módulos de dominio</w:t>
            </w:r>
          </w:p>
        </w:tc>
        <w:tc>
          <w:tcPr>
            <w:tcW w:type="dxa" w:w="6146"/>
            <w:tcMar>
              <w:top w:type="dxa" w:w="60"/>
              <w:left w:type="dxa" w:w="100"/>
              <w:bottom w:type="dxa" w:w="60"/>
              <w:right w:type="dxa" w:w="100"/>
            </w:tcMar>
          </w:tcPr>
          <w:p>
            <w:pPr>
              <w:spacing w:after="0"/>
            </w:pPr>
            <w:r>
              <w:t xml:space="preserve">Altas, socios y libros, solicitudes, re-empadronamiento, reportes, actas y contenido</w:t>
            </w:r>
          </w:p>
        </w:tc>
      </w:tr>
      <w:tr>
        <w:tc>
          <w:tcPr>
            <w:tcW w:type="dxa" w:w="2926"/>
            <w:tcMar>
              <w:top w:type="dxa" w:w="60"/>
              <w:left w:type="dxa" w:w="100"/>
              <w:bottom w:type="dxa" w:w="60"/>
              <w:right w:type="dxa" w:w="100"/>
            </w:tcMar>
          </w:tcPr>
          <w:p>
            <w:pPr>
              <w:spacing w:after="0"/>
            </w:pPr>
            <w:r>
              <w:t xml:space="preserve">T7 — Seguridad, privacidad y calidad</w:t>
            </w:r>
          </w:p>
        </w:tc>
        <w:tc>
          <w:tcPr>
            <w:tcW w:type="dxa" w:w="6146"/>
            <w:tcMar>
              <w:top w:type="dxa" w:w="60"/>
              <w:left w:type="dxa" w:w="100"/>
              <w:bottom w:type="dxa" w:w="60"/>
              <w:right w:type="dxa" w:w="100"/>
            </w:tcMar>
          </w:tcPr>
          <w:p>
            <w:pPr>
              <w:spacing w:after="0"/>
            </w:pPr>
            <w:r>
              <w:t xml:space="preserve">Sesión, tokens, límites, cabeceras, archivos, Ley 25.326, auditoría y tests</w:t>
            </w:r>
          </w:p>
        </w:tc>
      </w:tr>
      <w:tr>
        <w:tc>
          <w:tcPr>
            <w:tcW w:type="dxa" w:w="2926"/>
            <w:tcMar>
              <w:top w:type="dxa" w:w="60"/>
              <w:left w:type="dxa" w:w="100"/>
              <w:bottom w:type="dxa" w:w="60"/>
              <w:right w:type="dxa" w:w="100"/>
            </w:tcMar>
          </w:tcPr>
          <w:p>
            <w:pPr>
              <w:spacing w:after="0"/>
            </w:pPr>
            <w:r>
              <w:t xml:space="preserve">M1 — Manual del operador</w:t>
            </w:r>
          </w:p>
        </w:tc>
        <w:tc>
          <w:tcPr>
            <w:tcW w:type="dxa" w:w="6146"/>
            <w:tcMar>
              <w:top w:type="dxa" w:w="60"/>
              <w:left w:type="dxa" w:w="100"/>
              <w:bottom w:type="dxa" w:w="60"/>
              <w:right w:type="dxa" w:w="100"/>
            </w:tcMar>
          </w:tcPr>
          <w:p>
            <w:pPr>
              <w:spacing w:after="0"/>
            </w:pPr>
            <w:r>
              <w:t xml:space="preserve">El panel de administración, pantalla por pantalla</w:t>
            </w:r>
          </w:p>
        </w:tc>
      </w:tr>
      <w:tr>
        <w:tc>
          <w:tcPr>
            <w:tcW w:type="dxa" w:w="2926"/>
            <w:tcMar>
              <w:top w:type="dxa" w:w="60"/>
              <w:left w:type="dxa" w:w="100"/>
              <w:bottom w:type="dxa" w:w="60"/>
              <w:right w:type="dxa" w:w="100"/>
            </w:tcMar>
          </w:tcPr>
          <w:p>
            <w:pPr>
              <w:spacing w:after="0"/>
            </w:pPr>
            <w:r>
              <w:t xml:space="preserve">M2 — Manual del socio</w:t>
            </w:r>
          </w:p>
        </w:tc>
        <w:tc>
          <w:tcPr>
            <w:tcW w:type="dxa" w:w="6146"/>
            <w:tcMar>
              <w:top w:type="dxa" w:w="60"/>
              <w:left w:type="dxa" w:w="100"/>
              <w:bottom w:type="dxa" w:w="60"/>
              <w:right w:type="dxa" w:w="100"/>
            </w:tcMar>
          </w:tcPr>
          <w:p>
            <w:pPr>
              <w:spacing w:after="0"/>
            </w:pPr>
            <w:r>
              <w:t xml:space="preserve">El panel de socio</w:t>
            </w:r>
          </w:p>
        </w:tc>
      </w:tr>
      <w:tr>
        <w:tc>
          <w:tcPr>
            <w:tcW w:type="dxa" w:w="2926"/>
            <w:tcMar>
              <w:top w:type="dxa" w:w="60"/>
              <w:left w:type="dxa" w:w="100"/>
              <w:bottom w:type="dxa" w:w="60"/>
              <w:right w:type="dxa" w:w="100"/>
            </w:tcMar>
          </w:tcPr>
          <w:p>
            <w:pPr>
              <w:spacing w:after="0"/>
            </w:pPr>
            <w:r>
              <w:t xml:space="preserve">M3 — Guía del vecino</w:t>
            </w:r>
          </w:p>
        </w:tc>
        <w:tc>
          <w:tcPr>
            <w:tcW w:type="dxa" w:w="6146"/>
            <w:tcMar>
              <w:top w:type="dxa" w:w="60"/>
              <w:left w:type="dxa" w:w="100"/>
              <w:bottom w:type="dxa" w:w="60"/>
              <w:right w:type="dxa" w:w="100"/>
            </w:tcMar>
          </w:tcPr>
          <w:p>
            <w:pPr>
              <w:spacing w:after="0"/>
            </w:pPr>
            <w:r>
              <w:t xml:space="preserve">El sitio público y los tres trámites</w:t>
            </w:r>
          </w:p>
        </w:tc>
      </w:tr>
    </w:tbl>
    <w:p>
      <w:pPr>
        <w:spacing w:after="120"/>
      </w:pPr>
    </w:p>
    <w:p>
      <w:pPr>
        <w:spacing w:after="120"/>
      </w:pPr>
      <w:r>
        <w:t xml:space="preserve">La carpeta </w:t>
      </w:r>
      <w:r>
        <w:rPr>
          <w:rFonts w:ascii="Consolas" w:cs="Consolas" w:eastAsia="Consolas" w:hAnsi="Consolas"/>
          <w:sz w:val="20"/>
          <w:szCs w:val="20"/>
          <w:shd w:fill="F1F5F9" w:color="auto" w:val="clear"/>
        </w:rPr>
        <w:t xml:space="preserve">docs/</w:t>
      </w:r>
      <w:r>
        <w:t xml:space="preserve"> del repositorio conserva la especificación acordada con el cliente y el
material operativo: visión y alcance (01), marco estatutario con las reglas numeradas (02),
arquitectura e infraestructura (03), modelo de datos (04), flujos funcionales (05), integración
de pagos (06), plan de etapas (07), seguridad y privacidad (08), relevamiento del servidor (09),
runbook del dominio productivo (10) y preparación del entorno de pruebas (11). Las diferencias
detectadas entre esos documentos y el código están listadas en el archivo de hallazgos con fecha
11/09/2026, dentro de </w:t>
      </w:r>
      <w:r>
        <w:rPr>
          <w:rFonts w:ascii="Consolas" w:cs="Consolas" w:eastAsia="Consolas" w:hAnsi="Consolas"/>
          <w:sz w:val="20"/>
          <w:szCs w:val="20"/>
          <w:shd w:fill="F1F5F9" w:color="auto" w:val="clear"/>
        </w:rPr>
        <w:t xml:space="preserve">docs/manuales</w:t>
      </w:r>
      <w:r>
        <w:t xml:space="preserve">: no se corrigieron en su origen, porque este documento
describe el código.</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SIGeV — v1.0 — 11/09/2026 —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072"/>
      </w:tabs>
    </w:pPr>
    <w:r>
      <w:rPr>
        <w:color w:val="666666"/>
        <w:sz w:val="18"/>
        <w:szCs w:val="18"/>
      </w:rPr>
      <w:t xml:space="preserve">Visión y panorama	SIGeV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9BC" w:sz="8" w:space="4"/>
      </w:pBdr>
      <w:spacing w:after="240" w:before="0"/>
      <w:outlineLvl w:val="0"/>
    </w:pPr>
    <w:rPr>
      <w:rFonts w:ascii="Calibri" w:cs="Calibri" w:eastAsia="Calibri" w:hAnsi="Calibri"/>
      <w:b/>
      <w:bCs/>
      <w:color w:val="0079BC"/>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79BC"/>
      <w:sz w:val="28"/>
      <w:szCs w:val="28"/>
    </w:rPr>
  </w:style>
  <w:style w:type="paragraph" w:styleId="Heading3">
    <w:name w:val="Heading 3"/>
    <w:basedOn w:val="Normal"/>
    <w:next w:val="Normal"/>
    <w:qFormat/>
    <w:pPr>
      <w:spacing w:after="120" w:before="280"/>
      <w:outlineLvl w:val="2"/>
    </w:pPr>
    <w:rPr>
      <w:rFonts w:ascii="Calibri" w:cs="Calibri" w:eastAsia="Calibri" w:hAnsi="Calibri"/>
      <w:b/>
      <w:bCs/>
      <w:color w:val="0079BC"/>
      <w:sz w:val="24"/>
      <w:szCs w:val="24"/>
    </w:rPr>
  </w:style>
  <w:style w:type="paragraph" w:styleId="Heading4">
    <w:name w:val="Heading 4"/>
    <w:basedOn w:val="Normal"/>
    <w:next w:val="Normal"/>
    <w:qFormat/>
    <w:pPr>
      <w:spacing w:after="120" w:before="280"/>
      <w:outlineLvl w:val="3"/>
    </w:pPr>
    <w:rPr>
      <w:rFonts w:ascii="Calibri" w:cs="Calibri" w:eastAsia="Calibri" w:hAnsi="Calibri"/>
      <w:b/>
      <w:bCs/>
      <w:color w:val="0079B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28921fb969db8c0e9752ff979f7cd14772a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Visión y panorama</dc:title>
  <dc:creator>SIGeV</dc:creator>
  <dc:description>Qué es SIGeV, cómo está armado y en qué estado está</dc:description>
  <cp:lastModifiedBy>Un-named</cp:lastModifiedBy>
  <cp:revision>1</cp:revision>
  <dcterms:created xsi:type="dcterms:W3CDTF">2026-09-12T15:14:28.931Z</dcterms:created>
  <dcterms:modified xsi:type="dcterms:W3CDTF">2026-09-12T15:14:28.932Z</dcterms:modified>
</cp:coreProperties>
</file>

<file path=docProps/custom.xml><?xml version="1.0" encoding="utf-8"?>
<Properties xmlns="http://schemas.openxmlformats.org/officeDocument/2006/custom-properties" xmlns:vt="http://schemas.openxmlformats.org/officeDocument/2006/docPropsVTypes"/>
</file>