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drawing>
          <wp:inline distT="0" distB="0" distL="0" distR="0">
            <wp:extent cx="1809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0225"/>
                    </a:xfrm>
                    <a:prstGeom prst="rect">
                      <a:avLst/>
                    </a:prstGeom>
                  </pic:spPr>
                </pic:pic>
              </a:graphicData>
            </a:graphic>
          </wp:inline>
        </w:drawing>
      </w:r>
    </w:p>
    <w:p>
      <w:pPr>
        <w:spacing w:after="120" w:before="0"/>
        <w:jc w:val="center"/>
      </w:pPr>
      <w:r>
        <w:rPr>
          <w:rFonts w:ascii="Calibri" w:cs="Calibri" w:eastAsia="Calibri" w:hAnsi="Calibri"/>
          <w:color w:val="555555"/>
          <w:sz w:val="28"/>
          <w:szCs w:val="28"/>
        </w:rPr>
        <w:t xml:space="preserve">SIGeV — Sistema Integral de Gestión Vecinal</w:t>
      </w:r>
    </w:p>
    <w:p>
      <w:pPr>
        <w:spacing w:after="120" w:before="400"/>
        <w:jc w:val="center"/>
      </w:pPr>
      <w:r>
        <w:rPr>
          <w:rFonts w:ascii="Calibri" w:cs="Calibri" w:eastAsia="Calibri" w:hAnsi="Calibri"/>
          <w:b/>
          <w:bCs/>
          <w:color w:val="0079BC"/>
          <w:sz w:val="56"/>
          <w:szCs w:val="56"/>
        </w:rPr>
        <w:t xml:space="preserve">Tablas del sistema</w:t>
      </w:r>
    </w:p>
    <w:p>
      <w:pPr>
        <w:spacing w:after="120" w:before="0"/>
        <w:jc w:val="center"/>
      </w:pPr>
      <w:r>
        <w:rPr>
          <w:rFonts w:ascii="Calibri" w:cs="Calibri" w:eastAsia="Calibri" w:hAnsi="Calibri"/>
          <w:color w:val="333333"/>
          <w:sz w:val="32"/>
          <w:szCs w:val="32"/>
        </w:rPr>
        <w:t xml:space="preserve">Qué guarda cada tabla, cómo se relacionan y cuánto hay</w:t>
      </w:r>
    </w:p>
    <w:p>
      <w:pPr>
        <w:spacing w:after="120" w:before="200"/>
        <w:jc w:val="center"/>
      </w:pPr>
      <w:r>
        <w:rPr>
          <w:rFonts w:ascii="Calibri" w:cs="Calibri" w:eastAsia="Calibri" w:hAnsi="Calibri"/>
          <w:color w:val="555555"/>
          <w:sz w:val="24"/>
          <w:szCs w:val="24"/>
        </w:rPr>
        <w:t xml:space="preserve">Resumen para revisión externa — 1 de 2</w:t>
      </w:r>
    </w:p>
    <w:p>
      <w:pPr>
        <w:spacing w:after="120" w:before="1800"/>
        <w:jc w:val="center"/>
      </w:pPr>
      <w:r>
        <w:rPr>
          <w:rFonts w:ascii="Calibri" w:cs="Calibri" w:eastAsia="Calibri" w:hAnsi="Calibri"/>
          <w:color w:val="555555"/>
          <w:sz w:val="22"/>
          <w:szCs w:val="22"/>
        </w:rPr>
        <w:t xml:space="preserve">Asociación Vecinal del Barrio Ciudadela · Comodoro Rivadavia, Chubut</w:t>
      </w:r>
    </w:p>
    <w:p>
      <w:pPr>
        <w:spacing w:after="120" w:before="0"/>
        <w:jc w:val="center"/>
      </w:pPr>
      <w:r>
        <w:rPr>
          <w:rFonts w:ascii="Calibri" w:cs="Calibri" w:eastAsia="Calibri" w:hAnsi="Calibri"/>
          <w:color w:val="555555"/>
          <w:sz w:val="22"/>
          <w:szCs w:val="22"/>
        </w:rPr>
        <w:t xml:space="preserve">Versión 1.0 · 12/09/2026</w:t>
      </w:r>
    </w:p>
    <w:p>
      <w:pPr>
        <w:sectPr>
          <w:pgSz w:w="11906" w:h="16838" w:orient="portrait"/>
          <w:pgMar w:top="1417" w:right="1417" w:bottom="1417" w:left="1417" w:header="708" w:footer="708" w:gutter="0"/>
          <w:pgNumType/>
          <w:docGrid w:linePitch="360"/>
        </w:sectPr>
      </w:pPr>
    </w:p>
    <w:p>
      <w:pPr>
        <w:pBdr>
          <w:bottom w:val="single" w:color="0079BC" w:sz="8" w:space="4"/>
        </w:pBdr>
        <w:spacing w:after="240"/>
      </w:pPr>
      <w:r>
        <w:rPr>
          <w:rFonts w:ascii="Calibri" w:cs="Calibri" w:eastAsia="Calibri" w:hAnsi="Calibri"/>
          <w:b/>
          <w:bCs/>
          <w:color w:val="0079BC"/>
          <w:sz w:val="36"/>
          <w:szCs w:val="36"/>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Cómo está guardado el dato</w:t>
      </w:r>
    </w:p>
    <w:p>
      <w:pPr>
        <w:pStyle w:val="Heading2"/>
      </w:pPr>
      <w:r>
        <w:t xml:space="preserve">Para quién es y qué da por sabido</w:t>
      </w:r>
    </w:p>
    <w:p>
      <w:pPr>
        <w:spacing w:after="120"/>
      </w:pPr>
      <w:r>
        <w:t xml:space="preserve">Está escrito para quien revisa SIGeV desde afuera y necesita saber, en un rato, qué guarda el
sistema y cómo está organizado. Da por sabido SQL, claves foráneas e índices, y una noción de
qué hace un ORM; no da por sabido nada del dominio de la asociación. Es la versión corta de
la serie técnica: el detalle columna por columna, los 34 enums y las 24 migraciones están en
</w:t>
      </w:r>
      <w:r>
        <w:rPr>
          <w:b/>
          <w:bCs/>
        </w:rPr>
        <w:t xml:space="preserve">T4 — Modelo de datos</w:t>
      </w:r>
      <w:r>
        <w:t xml:space="preserve">, y acá no se repiten. La fuente de verdad de los dos es
</w:t>
      </w:r>
      <w:r>
        <w:rPr>
          <w:rFonts w:ascii="Consolas" w:cs="Consolas" w:eastAsia="Consolas" w:hAnsi="Consolas"/>
          <w:sz w:val="20"/>
          <w:szCs w:val="20"/>
          <w:shd w:fill="F1F5F9" w:color="auto" w:val="clear"/>
        </w:rPr>
        <w:t xml:space="preserve">prisma/schema.prisma</w:t>
      </w:r>
      <w:r>
        <w:t xml:space="preserve">.</w:t>
      </w:r>
    </w:p>
    <w:p>
      <w:pPr>
        <w:pStyle w:val="Heading2"/>
      </w:pPr>
      <w:r>
        <w:t xml:space="preserve">Cómo leer este documento</w:t>
      </w:r>
    </w:p>
    <w:p>
      <w:pPr>
        <w:spacing w:after="120"/>
      </w:pPr>
      <w:r>
        <w:t xml:space="preserve">El capítulo 2 es el cuerpo: el mapa y, por dominio, un diagrama entidad-relación y una entrada
por cada tabla, con para qué sirve, sus claves, sus relaciones y su volumen. El 3 es material
de consulta. Los diagramas están también como PNG en </w:t>
      </w:r>
      <w:r>
        <w:rPr>
          <w:rFonts w:ascii="Consolas" w:cs="Consolas" w:eastAsia="Consolas" w:hAnsi="Consolas"/>
          <w:sz w:val="20"/>
          <w:szCs w:val="20"/>
          <w:shd w:fill="F1F5F9" w:color="auto" w:val="clear"/>
        </w:rPr>
        <w:t xml:space="preserve">docs/manuales/img/r1/</w:t>
      </w:r>
      <w:r>
        <w:t xml:space="preserve">, con el fuente
Mermaid de cada uno al lado.</w:t>
      </w:r>
    </w:p>
    <w:p>
      <w:pPr>
        <w:pStyle w:val="Heading2"/>
      </w:pPr>
      <w:r>
        <w:t xml:space="preserve">Las cuatro convenciones del esquema</w:t>
      </w:r>
    </w:p>
    <w:p>
      <w:pPr>
        <w:spacing w:after="120"/>
      </w:pPr>
      <w:r>
        <w:t xml:space="preserve">La base es </w:t>
      </w:r>
      <w:r>
        <w:rPr>
          <w:b/>
          <w:bCs/>
        </w:rPr>
        <w:t xml:space="preserve">MariaDB</w:t>
      </w:r>
      <w:r>
        <w:t xml:space="preserve"> y el acceso es por </w:t>
      </w:r>
      <w:r>
        <w:rPr>
          <w:b/>
          <w:bCs/>
        </w:rPr>
        <w:t xml:space="preserve">Prisma</w:t>
      </w:r>
      <w:r>
        <w:t xml:space="preserve"> con el provider </w:t>
      </w:r>
      <w:r>
        <w:rPr>
          <w:rFonts w:ascii="Consolas" w:cs="Consolas" w:eastAsia="Consolas" w:hAnsi="Consolas"/>
          <w:sz w:val="20"/>
          <w:szCs w:val="20"/>
          <w:shd w:fill="F1F5F9" w:color="auto" w:val="clear"/>
        </w:rPr>
        <w:t xml:space="preserve">mysql</w:t>
      </w:r>
      <w:r>
        <w:t xml:space="preserve">. El esquema
declara </w:t>
      </w:r>
      <w:r>
        <w:rPr>
          <w:b/>
          <w:bCs/>
        </w:rPr>
        <w:t xml:space="preserve">37 modelos</w:t>
      </w:r>
      <w:r>
        <w:t xml:space="preserve"> y </w:t>
      </w:r>
      <w:r>
        <w:rPr>
          <w:b/>
          <w:bCs/>
        </w:rPr>
        <w:t xml:space="preserve">34 enums</w:t>
      </w:r>
      <w:r>
        <w:t xml:space="preserve"> en un solo archivo, y de ahí salen las migraciones:
siempre </w:t>
      </w:r>
      <w:r>
        <w:rPr>
          <w:rFonts w:ascii="Consolas" w:cs="Consolas" w:eastAsia="Consolas" w:hAnsi="Consolas"/>
          <w:sz w:val="20"/>
          <w:szCs w:val="20"/>
          <w:shd w:fill="F1F5F9" w:color="auto" w:val="clear"/>
        </w:rPr>
        <w:t xml:space="preserve">prisma migrate</w:t>
      </w:r>
      <w:r>
        <w:t xml:space="preserve">, nunca un </w:t>
      </w:r>
      <w:r>
        <w:rPr>
          <w:rFonts w:ascii="Consolas" w:cs="Consolas" w:eastAsia="Consolas" w:hAnsi="Consolas"/>
          <w:sz w:val="20"/>
          <w:szCs w:val="20"/>
          <w:shd w:fill="F1F5F9" w:color="auto" w:val="clear"/>
        </w:rPr>
        <w:t xml:space="preserve">db push</w:t>
      </w:r>
      <w:r>
        <w:t xml:space="preserve"> contra producción.</w:t>
      </w:r>
    </w:p>
    <w:p>
      <w:pPr>
        <w:spacing w:after="120"/>
      </w:pPr>
      <w:r>
        <w:rPr>
          <w:b/>
          <w:bCs/>
        </w:rPr>
        <w:t xml:space="preserve">El modelo y la tabla no se llaman igual.</w:t>
      </w:r>
      <w:r>
        <w:t xml:space="preserve"> El modelo es singular y en mayúsculas camelladas;
la tabla, plural y en minúsculas con guión bajo (</w:t>
      </w:r>
      <w:r>
        <w:rPr>
          <w:rFonts w:ascii="Consolas" w:cs="Consolas" w:eastAsia="Consolas" w:hAnsi="Consolas"/>
          <w:sz w:val="20"/>
          <w:szCs w:val="20"/>
          <w:shd w:fill="F1F5F9" w:color="auto" w:val="clear"/>
        </w:rPr>
        <w:t xml:space="preserve">FeeValue</w:t>
      </w:r>
      <w:r>
        <w:t xml:space="preserve"> es </w:t>
      </w:r>
      <w:r>
        <w:rPr>
          <w:rFonts w:ascii="Consolas" w:cs="Consolas" w:eastAsia="Consolas" w:hAnsi="Consolas"/>
          <w:sz w:val="20"/>
          <w:szCs w:val="20"/>
          <w:shd w:fill="F1F5F9" w:color="auto" w:val="clear"/>
        </w:rPr>
        <w:t xml:space="preserve">fee_values</w:t>
      </w:r>
      <w:r>
        <w:t xml:space="preserve">). Acá se nombra
siempre la tabla, que es lo que se ve desde SQL.</w:t>
      </w:r>
    </w:p>
    <w:p>
      <w:pPr>
        <w:spacing w:after="120"/>
      </w:pPr>
      <w:r>
        <w:rPr>
          <w:b/>
          <w:bCs/>
        </w:rPr>
        <w:t xml:space="preserve">Todo instante se guarda en UTC; toda fecha civil, al mediodía UTC.</w:t>
      </w:r>
      <w:r>
        <w:t xml:space="preserve"> Una fecha civil —la de
un acta, la de ingreso, un feriado— no tiene hora que signifique nada: con medianoche,
cualquier render en la zona local la correría un día para atrás.</w:t>
      </w:r>
    </w:p>
    <w:p>
      <w:pPr>
        <w:spacing w:after="120"/>
      </w:pPr>
      <w:r>
        <w:rPr>
          <w:b/>
          <w:bCs/>
        </w:rPr>
        <w:t xml:space="preserve">Casi nada se borra: se marca.</w:t>
      </w:r>
      <w:r>
        <w:t xml:space="preserve"> Un recibo anulado tiene su fecha de anulación, su motivo y
su autor, y su número sigue ocupado: la columna en nulo es el estado normal, y la fecha es a
la vez el hecho y su prueba. Las claves foráneas acompañan: la trazabilidad se anula
(</w:t>
      </w:r>
      <w:r>
        <w:rPr>
          <w:rFonts w:ascii="Consolas" w:cs="Consolas" w:eastAsia="Consolas" w:hAnsi="Consolas"/>
          <w:sz w:val="20"/>
          <w:szCs w:val="20"/>
          <w:shd w:fill="F1F5F9" w:color="auto" w:val="clear"/>
        </w:rPr>
        <w:t xml:space="preserve">SetNull</w:t>
      </w:r>
      <w:r>
        <w:t xml:space="preserve">), lo que no tiene vida propia se borra en cascada, y lo que </w:t>
      </w:r>
      <w:r>
        <w:rPr>
          <w:b/>
          <w:bCs/>
        </w:rPr>
        <w:t xml:space="preserve">es</w:t>
      </w:r>
      <w:r>
        <w:t xml:space="preserve"> la prueba va con
</w:t>
      </w:r>
      <w:r>
        <w:rPr>
          <w:rFonts w:ascii="Consolas" w:cs="Consolas" w:eastAsia="Consolas" w:hAnsi="Consolas"/>
          <w:sz w:val="20"/>
          <w:szCs w:val="20"/>
          <w:shd w:fill="F1F5F9" w:color="auto" w:val="clear"/>
        </w:rPr>
        <w:t xml:space="preserve">Restrict</w:t>
      </w:r>
      <w:r>
        <w:t xml:space="preserve">.</w:t>
      </w:r>
    </w:p>
    <w:p>
      <w:pPr>
        <w:spacing w:after="120"/>
      </w:pPr>
      <w:r>
        <w:rPr>
          <w:b/>
          <w:bCs/>
        </w:rPr>
        <w:t xml:space="preserve">La plata es </w:t>
      </w:r>
      <w:r>
        <w:rPr>
          <w:rFonts w:ascii="Consolas" w:cs="Consolas" w:eastAsia="Consolas" w:hAnsi="Consolas"/>
          <w:b/>
          <w:bCs/>
          <w:sz w:val="20"/>
          <w:szCs w:val="20"/>
          <w:shd w:fill="F1F5F9" w:color="auto" w:val="clear"/>
        </w:rPr>
        <w:t xml:space="preserve">Decimal(10, 2)</w:t>
      </w:r>
      <w:r>
        <w:rPr>
          <w:b/>
          <w:bCs/>
        </w:rPr>
        <w:t xml:space="preserve">, nunca un flotante</w:t>
      </w:r>
      <w:r>
        <w:t xml:space="preserve">, y toda comparación de dinero se hace en
centavos enteros, porque los importes que llegan de Mercado Pago sí son flotantes.</w:t>
      </w:r>
    </w:p>
    <w:p>
      <w:pPr>
        <w:pStyle w:val="Heading2"/>
      </w:pPr>
      <w:r>
        <w:t xml:space="preserve">La base en local, en dos comandos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1F5F9" w:color="auto" w:val="clear"/>
            <w:tcMar>
              <w:top w:type="dxa" w:w="80"/>
              <w:left w:type="dxa" w:w="120"/>
              <w:bottom w:type="dxa" w:w="80"/>
              <w:right w:type="dxa" w:w="120"/>
            </w:tcMar>
          </w:tcPr>
          <w:p>
            <w:pPr>
              <w:spacing w:after="0"/>
            </w:pPr>
            <w:r>
              <w:rPr>
                <w:rFonts w:ascii="Consolas" w:cs="Consolas" w:eastAsia="Consolas" w:hAnsi="Consolas"/>
                <w:sz w:val="19"/>
                <w:szCs w:val="19"/>
              </w:rPr>
              <w:t xml:space="preserve">docker compose up -d</w:t>
            </w:r>
          </w:p>
          <w:p>
            <w:pPr>
              <w:spacing w:after="0"/>
            </w:pPr>
            <w:r>
              <w:rPr>
                <w:rFonts w:ascii="Consolas" w:cs="Consolas" w:eastAsia="Consolas" w:hAnsi="Consolas"/>
                <w:sz w:val="19"/>
                <w:szCs w:val="19"/>
              </w:rPr>
              <w:t xml:space="preserve">docker exec -it sigev-db mariadb -u sigev -p sigev</w:t>
            </w:r>
          </w:p>
        </w:tc>
      </w:tr>
    </w:tbl>
    <w:p>
      <w:pPr>
        <w:spacing w:after="0" w:before="0"/>
      </w:pPr>
    </w:p>
    <w:p>
      <w:pPr>
        <w:spacing w:after="120"/>
      </w:pPr>
      <w:r>
        <w:t xml:space="preserve">El primero levanta MariaDB en un contenedor con el puerto publicado </w:t>
      </w:r>
      <w:r>
        <w:rPr>
          <w:b/>
          <w:bCs/>
        </w:rPr>
        <w:t xml:space="preserve">sólo en loopback</w:t>
      </w:r>
      <w:r>
        <w:t xml:space="preserve">; el
segundo abre el cliente contra la base de desarrollo, cuya contraseña está en
</w:t>
      </w:r>
      <w:r>
        <w:rPr>
          <w:rFonts w:ascii="Consolas" w:cs="Consolas" w:eastAsia="Consolas" w:hAnsi="Consolas"/>
          <w:sz w:val="20"/>
          <w:szCs w:val="20"/>
          <w:shd w:fill="F1F5F9" w:color="auto" w:val="clear"/>
        </w:rPr>
        <w:t xml:space="preserve">docker-compose.yml</w:t>
      </w:r>
      <w:r>
        <w:t xml:space="preserve">. El esquema está en </w:t>
      </w:r>
      <w:r>
        <w:rPr>
          <w:rFonts w:ascii="Consolas" w:cs="Consolas" w:eastAsia="Consolas" w:hAnsi="Consolas"/>
          <w:sz w:val="20"/>
          <w:szCs w:val="20"/>
          <w:shd w:fill="F1F5F9" w:color="auto" w:val="clear"/>
        </w:rPr>
        <w:t xml:space="preserve">prisma/schema.prisma</w:t>
      </w:r>
      <w:r>
        <w:t xml:space="preserve"> —sus comentarios son parte de
la especificación— y las migraciones, en </w:t>
      </w:r>
      <w:r>
        <w:rPr>
          <w:rFonts w:ascii="Consolas" w:cs="Consolas" w:eastAsia="Consolas" w:hAnsi="Consolas"/>
          <w:sz w:val="20"/>
          <w:szCs w:val="20"/>
          <w:shd w:fill="F1F5F9" w:color="auto" w:val="clear"/>
        </w:rPr>
        <w:t xml:space="preserve">prisma/migrations/</w:t>
      </w:r>
      <w:r>
        <w:t xml:space="preserve">, una carpeta con SQL plano cada
una.</w:t>
      </w:r>
    </w:p>
    <w:p>
      <w:pPr>
        <w:pStyle w:val="Heading1"/>
        <w:pageBreakBefore/>
      </w:pPr>
      <w:r>
        <w:t xml:space="preserve">2. Los dominios, uno por uno</w:t>
      </w:r>
    </w:p>
    <w:p>
      <w:pPr>
        <w:spacing w:after="120"/>
      </w:pPr>
      <w:r>
        <w:t xml:space="preserve">Las 37 tablas se agrupan en nueve dominios. El padrón es el centro y ahí termina la mitad de
las flechas del sistema; el bloque de contenido es el sitio público y no se conecta con nada
salvo con su autor.</w:t>
      </w:r>
    </w:p>
    <w:p>
      <w:pPr>
        <w:keepNext/>
        <w:spacing w:after="60" w:before="120"/>
        <w:jc w:val="center"/>
      </w:pPr>
      <w:r>
        <w:drawing>
          <wp:inline distT="0" distB="0" distL="0" distR="0">
            <wp:extent cx="50387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781175"/>
                    </a:xfrm>
                    <a:prstGeom prst="rect">
                      <a:avLst/>
                    </a:prstGeom>
                  </pic:spPr>
                </pic:pic>
              </a:graphicData>
            </a:graphic>
          </wp:inline>
        </w:drawing>
      </w:r>
    </w:p>
    <w:p>
      <w:pPr>
        <w:spacing w:after="200"/>
        <w:jc w:val="center"/>
      </w:pPr>
      <w:r>
        <w:rPr>
          <w:i/>
          <w:iCs/>
          <w:color w:val="444444"/>
          <w:sz w:val="18"/>
          <w:szCs w:val="18"/>
        </w:rPr>
        <w:t xml:space="preserve">Figura 1 — Los nueve dominios. Cada flecha va del dominio que tiene la clave foránea al referenciado; las punteadas son las tablas de sistema que anotan sobre los demás. Se omiten las flechas de autoría —quién creó, validó o anuló la fila— y las de domicilio hacia la tabla de calles: esas columnas están en casi todas las tablas y taparían el mapa. Contenido queda suelto justamente porque sus únicas claves foráneas son de autoría.</w:t>
      </w:r>
    </w:p>
    <w:p>
      <w:pPr>
        <w:spacing w:after="120"/>
      </w:pPr>
      <w:r>
        <w:rPr>
          <w:b/>
          <w:bCs/>
        </w:rPr>
        <w:t xml:space="preserve">Cómo leer los siete diagramas.</w:t>
      </w:r>
      <w:r>
        <w:t xml:space="preserve"> Cada caja es una tabla, con su clave primaria y sólo las
claves foráneas y los uniques que importan; una tabla de </w:t>
      </w:r>
      <w:r>
        <w:rPr>
          <w:b/>
          <w:bCs/>
        </w:rPr>
        <w:t xml:space="preserve">otro</w:t>
      </w:r>
      <w:r>
        <w:t xml:space="preserve"> dominio aparece apenas como
el extremo de una flecha, y las tablas que quedarían como cajas sueltas —sin ninguna relación
dentro de su dominio— no se dibujan, aunque figuran en las listas. Rige la misma omisión que
en el mapa: </w:t>
      </w:r>
      <w:r>
        <w:rPr>
          <w:b/>
          <w:bCs/>
        </w:rPr>
        <w:t xml:space="preserve">no se dibuja quién creó, validó o anuló la fila</w:t>
      </w:r>
      <w:r>
        <w:t xml:space="preserve">, que es una columna de casi
todas. La línea punteada del diagrama de solicitudes es una relación </w:t>
      </w:r>
      <w:r>
        <w:rPr>
          <w:b/>
          <w:bCs/>
        </w:rPr>
        <w:t xml:space="preserve">sin clave foránea
real</w:t>
      </w:r>
      <w:r>
        <w:t xml:space="preserve">. En los volúmenes, un número sale del padrón real importado; una raya quiere decir que
depende del uso y que no hay cifra que valga la pena afirmar.</w:t>
      </w:r>
    </w:p>
    <w:p>
      <w:pPr>
        <w:pStyle w:val="Heading2"/>
      </w:pPr>
      <w:r>
        <w:t xml:space="preserve">Usuarios, autenticación y padrón</w:t>
      </w:r>
    </w:p>
    <w:p>
      <w:pPr>
        <w:keepNext/>
        <w:spacing w:after="60" w:before="120"/>
        <w:jc w:val="center"/>
      </w:pPr>
      <w:r>
        <w:drawing>
          <wp:inline distT="0" distB="0" distL="0" distR="0">
            <wp:extent cx="43243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24350" cy="4991100"/>
                    </a:xfrm>
                    <a:prstGeom prst="rect">
                      <a:avLst/>
                    </a:prstGeom>
                  </pic:spPr>
                </pic:pic>
              </a:graphicData>
            </a:graphic>
          </wp:inline>
        </w:drawing>
      </w:r>
    </w:p>
    <w:p>
      <w:pPr>
        <w:spacing w:after="200"/>
        <w:jc w:val="center"/>
      </w:pPr>
      <w:r>
        <w:rPr>
          <w:i/>
          <w:iCs/>
          <w:color w:val="444444"/>
          <w:sz w:val="18"/>
          <w:szCs w:val="18"/>
        </w:rPr>
        <w:t xml:space="preserve">Figura 2 — Usuarios, padrón y actas: el bloque que sostiene a los demás.</w:t>
      </w:r>
    </w:p>
    <w:p>
      <w:pPr>
        <w:pStyle w:val="ListParagraph"/>
        <w:numPr>
          <w:ilvl w:val="0"/>
          <w:numId w:val="2"/>
        </w:numPr>
        <w:spacing w:after="60"/>
      </w:pPr>
      <w:r>
        <w:rPr>
          <w:rFonts w:ascii="Consolas" w:cs="Consolas" w:eastAsia="Consolas" w:hAnsi="Consolas"/>
          <w:b/>
          <w:bCs/>
          <w:sz w:val="20"/>
          <w:szCs w:val="20"/>
          <w:shd w:fill="F1F5F9" w:color="auto" w:val="clear"/>
        </w:rPr>
        <w:t xml:space="preserve">users</w:t>
      </w:r>
      <w:r>
        <w:t xml:space="preserve"> — la cuenta de acceso, de gestión o de socio. </w:t>
      </w:r>
      <w:r>
        <w:rPr>
          <w:i/>
          <w:iCs/>
        </w:rPr>
        <w:t xml:space="preserve">Uniques:</w:t>
      </w:r>
      <w:r>
        <w:t xml:space="preserve"> </w:t>
      </w:r>
      <w:r>
        <w:rPr>
          <w:rFonts w:ascii="Consolas" w:cs="Consolas" w:eastAsia="Consolas" w:hAnsi="Consolas"/>
          <w:sz w:val="20"/>
          <w:szCs w:val="20"/>
          <w:shd w:fill="F1F5F9" w:color="auto" w:val="clear"/>
        </w:rPr>
        <w:t xml:space="preserve">email</w:t>
      </w:r>
      <w:r>
        <w:t xml:space="preserve">.
</w:t>
      </w:r>
      <w:r>
        <w:rPr>
          <w:i/>
          <w:iCs/>
        </w:rPr>
        <w:t xml:space="preserve">Relaciones:</w:t>
      </w:r>
      <w:r>
        <w:t xml:space="preserve"> 1 a 1 con la ficha, N a N con los roles, y figura como autor en más de una
docena de tablas.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roles</w:t>
      </w:r>
      <w:r>
        <w:t xml:space="preserve"> — el catálogo de los tres roles: superadmin, admin y socio. </w:t>
      </w:r>
      <w:r>
        <w:rPr>
          <w:i/>
          <w:iCs/>
        </w:rPr>
        <w:t xml:space="preserve">Uniques:</w:t>
      </w:r>
      <w:r>
        <w:t xml:space="preserve"> </w:t>
      </w:r>
      <w:r>
        <w:rPr>
          <w:rFonts w:ascii="Consolas" w:cs="Consolas" w:eastAsia="Consolas" w:hAnsi="Consolas"/>
          <w:sz w:val="20"/>
          <w:szCs w:val="20"/>
          <w:shd w:fill="F1F5F9" w:color="auto" w:val="clear"/>
        </w:rPr>
        <w:t xml:space="preserve">name</w:t>
      </w:r>
      <w:r>
        <w:t xml:space="preserve">.
</w:t>
      </w:r>
      <w:r>
        <w:rPr>
          <w:i/>
          <w:iCs/>
        </w:rPr>
        <w:t xml:space="preserve">Relaciones:</w:t>
      </w:r>
      <w:r>
        <w:t xml:space="preserve"> la tabla puente. </w:t>
      </w:r>
      <w:r>
        <w:rPr>
          <w:i/>
          <w:iCs/>
        </w:rPr>
        <w:t xml:space="preserve">Volumen:</w:t>
      </w:r>
      <w:r>
        <w:t xml:space="preserve"> 3 filas.</w:t>
      </w:r>
    </w:p>
    <w:p>
      <w:pPr>
        <w:pStyle w:val="ListParagraph"/>
        <w:numPr>
          <w:ilvl w:val="0"/>
          <w:numId w:val="2"/>
        </w:numPr>
        <w:spacing w:after="60"/>
      </w:pPr>
      <w:r>
        <w:rPr>
          <w:rFonts w:ascii="Consolas" w:cs="Consolas" w:eastAsia="Consolas" w:hAnsi="Consolas"/>
          <w:b/>
          <w:bCs/>
          <w:sz w:val="20"/>
          <w:szCs w:val="20"/>
          <w:shd w:fill="F1F5F9" w:color="auto" w:val="clear"/>
        </w:rPr>
        <w:t xml:space="preserve">user_roles</w:t>
      </w:r>
      <w:r>
        <w:t xml:space="preserve"> — la puente que hace los roles acumulables. </w:t>
      </w:r>
      <w:r>
        <w:rPr>
          <w:i/>
          <w:iCs/>
        </w:rPr>
        <w:t xml:space="preserve">Claves:</w:t>
      </w:r>
      <w:r>
        <w:t xml:space="preserve"> primaria compuesta de
las dos columnas. </w:t>
      </w:r>
      <w:r>
        <w:rPr>
          <w:i/>
          <w:iCs/>
        </w:rPr>
        <w:t xml:space="preserve">Relaciones:</w:t>
      </w:r>
      <w:r>
        <w:t xml:space="preserve"> a la cuenta, en cascada, y al rol.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members</w:t>
      </w:r>
      <w:r>
        <w:t xml:space="preserve"> — la ficha del socio. </w:t>
      </w:r>
      <w:r>
        <w:rPr>
          <w:i/>
          <w:iCs/>
        </w:rPr>
        <w:t xml:space="preserve">Uniques:</w:t>
      </w:r>
      <w:r>
        <w:t xml:space="preserve"> el documento de identidad y la cuenta.
</w:t>
      </w:r>
      <w:r>
        <w:rPr>
          <w:i/>
          <w:iCs/>
        </w:rPr>
        <w:t xml:space="preserve">Relaciones:</w:t>
      </w:r>
      <w:r>
        <w:t xml:space="preserve"> una docena de listas inversas —membresías, movimientos, cuotas, cobros,
presentaciones, reportes— más la calle. </w:t>
      </w:r>
      <w:r>
        <w:rPr>
          <w:i/>
          <w:iCs/>
        </w:rPr>
        <w:t xml:space="preserve">Volumen:</w:t>
      </w:r>
      <w:r>
        <w:t xml:space="preserve"> 278 fichas, 160 vigentes (36 activos y
124 adherentes) y 118 bajas.</w:t>
      </w:r>
    </w:p>
    <w:p>
      <w:pPr>
        <w:pStyle w:val="ListParagraph"/>
        <w:numPr>
          <w:ilvl w:val="0"/>
          <w:numId w:val="2"/>
        </w:numPr>
        <w:spacing w:after="60"/>
      </w:pPr>
      <w:r>
        <w:rPr>
          <w:rFonts w:ascii="Consolas" w:cs="Consolas" w:eastAsia="Consolas" w:hAnsi="Consolas"/>
          <w:b/>
          <w:bCs/>
          <w:sz w:val="20"/>
          <w:szCs w:val="20"/>
          <w:shd w:fill="F1F5F9" w:color="auto" w:val="clear"/>
        </w:rPr>
        <w:t xml:space="preserve">books</w:t>
      </w:r>
      <w:r>
        <w:t xml:space="preserve"> — el libro de socios. </w:t>
      </w:r>
      <w:r>
        <w:rPr>
          <w:i/>
          <w:iCs/>
        </w:rPr>
        <w:t xml:space="preserve">Uniques:</w:t>
      </w:r>
      <w:r>
        <w:t xml:space="preserve"> </w:t>
      </w:r>
      <w:r>
        <w:rPr>
          <w:rFonts w:ascii="Consolas" w:cs="Consolas" w:eastAsia="Consolas" w:hAnsi="Consolas"/>
          <w:sz w:val="20"/>
          <w:szCs w:val="20"/>
          <w:shd w:fill="F1F5F9" w:color="auto" w:val="clear"/>
        </w:rPr>
        <w:t xml:space="preserve">number</w:t>
      </w:r>
      <w:r>
        <w:t xml:space="preserve">. </w:t>
      </w:r>
      <w:r>
        <w:rPr>
          <w:i/>
          <w:iCs/>
        </w:rPr>
        <w:t xml:space="preserve">Relaciones:</w:t>
      </w:r>
      <w:r>
        <w:t xml:space="preserve"> las actas de apertura y
de cierre, y las membresías. </w:t>
      </w:r>
      <w:r>
        <w:rPr>
          <w:i/>
          <w:iCs/>
        </w:rPr>
        <w:t xml:space="preserve">Volumen:</w:t>
      </w:r>
      <w:r>
        <w:t xml:space="preserve"> uno solo, el </w:t>
      </w:r>
      <w:r>
        <w:rPr>
          <w:b/>
          <w:bCs/>
        </w:rPr>
        <w:t xml:space="preserve">Libro N° 1</w:t>
      </w:r>
      <w:r>
        <w:t xml:space="preserve">, abierto, con el padrón
importado.</w:t>
      </w:r>
    </w:p>
    <w:p>
      <w:pPr>
        <w:pStyle w:val="ListParagraph"/>
        <w:numPr>
          <w:ilvl w:val="0"/>
          <w:numId w:val="2"/>
        </w:numPr>
        <w:spacing w:after="60"/>
      </w:pPr>
      <w:r>
        <w:rPr>
          <w:rFonts w:ascii="Consolas" w:cs="Consolas" w:eastAsia="Consolas" w:hAnsi="Consolas"/>
          <w:b/>
          <w:bCs/>
          <w:sz w:val="20"/>
          <w:szCs w:val="20"/>
          <w:shd w:fill="F1F5F9" w:color="auto" w:val="clear"/>
        </w:rPr>
        <w:t xml:space="preserve">memberships</w:t>
      </w:r>
      <w:r>
        <w:t xml:space="preserve"> — el número de socio, que es </w:t>
      </w:r>
      <w:r>
        <w:rPr>
          <w:b/>
          <w:bCs/>
        </w:rPr>
        <w:t xml:space="preserve">por libro</w:t>
      </w:r>
      <w:r>
        <w:t xml:space="preserve">. </w:t>
      </w:r>
      <w:r>
        <w:rPr>
          <w:i/>
          <w:iCs/>
        </w:rPr>
        <w:t xml:space="preserve">Uniques:</w:t>
      </w:r>
      <w:r>
        <w:t xml:space="preserve"> dos, con el libro:
uno sostiene la densidad de la numeración y el otro, un número por socio. </w:t>
      </w:r>
      <w:r>
        <w:rPr>
          <w:i/>
          <w:iCs/>
        </w:rPr>
        <w:t xml:space="preserve">Relaciones:</w:t>
      </w:r>
      <w:r>
        <w:t xml:space="preserve"> a la
ficha y al libro. </w:t>
      </w:r>
      <w:r>
        <w:rPr>
          <w:i/>
          <w:iCs/>
        </w:rPr>
        <w:t xml:space="preserve">Volumen:</w:t>
      </w:r>
      <w:r>
        <w:t xml:space="preserve"> 278 filas, numeradas de 1 a 306 con 28 huecos.</w:t>
      </w:r>
    </w:p>
    <w:p>
      <w:pPr>
        <w:pStyle w:val="ListParagraph"/>
        <w:numPr>
          <w:ilvl w:val="0"/>
          <w:numId w:val="2"/>
        </w:numPr>
        <w:spacing w:after="60"/>
      </w:pPr>
      <w:r>
        <w:rPr>
          <w:rFonts w:ascii="Consolas" w:cs="Consolas" w:eastAsia="Consolas" w:hAnsi="Consolas"/>
          <w:b/>
          <w:bCs/>
          <w:sz w:val="20"/>
          <w:szCs w:val="20"/>
          <w:shd w:fill="F1F5F9" w:color="auto" w:val="clear"/>
        </w:rPr>
        <w:t xml:space="preserve">minutes</w:t>
      </w:r>
      <w:r>
        <w:t xml:space="preserve"> — el acta: el respaldo institucional de casi todo. </w:t>
      </w:r>
      <w:r>
        <w:rPr>
          <w:i/>
          <w:iCs/>
        </w:rPr>
        <w:t xml:space="preserve">Uniques:</w:t>
      </w:r>
      <w:r>
        <w:t xml:space="preserve">
</w:t>
      </w:r>
      <w:r>
        <w:rPr>
          <w:rFonts w:ascii="Consolas" w:cs="Consolas" w:eastAsia="Consolas" w:hAnsi="Consolas"/>
          <w:sz w:val="20"/>
          <w:szCs w:val="20"/>
          <w:shd w:fill="F1F5F9" w:color="auto" w:val="clear"/>
        </w:rPr>
        <w:t xml:space="preserve">[type, number]</w:t>
      </w:r>
      <w:r>
        <w:t xml:space="preserve">. </w:t>
      </w:r>
      <w:r>
        <w:rPr>
          <w:i/>
          <w:iCs/>
        </w:rPr>
        <w:t xml:space="preserve">Relaciones:</w:t>
      </w:r>
      <w:r>
        <w:t xml:space="preserve"> la referencian siete tablas con diez columnas.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movements</w:t>
      </w:r>
      <w:r>
        <w:t xml:space="preserve"> — el historial de la ficha: altas, bajas, cambios de categoría, reingresos.
</w:t>
      </w:r>
      <w:r>
        <w:rPr>
          <w:i/>
          <w:iCs/>
        </w:rPr>
        <w:t xml:space="preserve">Claves:</w:t>
      </w:r>
      <w:r>
        <w:t xml:space="preserve"> índice por socio. </w:t>
      </w:r>
      <w:r>
        <w:rPr>
          <w:i/>
          <w:iCs/>
        </w:rPr>
        <w:t xml:space="preserve">Relaciones:</w:t>
      </w:r>
      <w:r>
        <w:t xml:space="preserve"> a la ficha, al acta y al autor. </w:t>
      </w:r>
      <w:r>
        <w:rPr>
          <w:i/>
          <w:iCs/>
        </w:rPr>
        <w:t xml:space="preserve">Volumen:</w:t>
      </w:r>
      <w:r>
        <w:t xml:space="preserve"> —</w:t>
      </w:r>
    </w:p>
    <w:p>
      <w:pPr>
        <w:pStyle w:val="ListParagraph"/>
        <w:numPr>
          <w:ilvl w:val="0"/>
          <w:numId w:val="2"/>
        </w:numPr>
        <w:spacing w:after="240"/>
      </w:pPr>
      <w:r>
        <w:rPr>
          <w:rFonts w:ascii="Consolas" w:cs="Consolas" w:eastAsia="Consolas" w:hAnsi="Consolas"/>
          <w:b/>
          <w:bCs/>
          <w:sz w:val="20"/>
          <w:szCs w:val="20"/>
          <w:shd w:fill="F1F5F9" w:color="auto" w:val="clear"/>
        </w:rPr>
        <w:t xml:space="preserve">member_requests</w:t>
      </w:r>
      <w:r>
        <w:t xml:space="preserve"> — la baja o el cambio de categoría que pide el socio desde su panel.
</w:t>
      </w:r>
      <w:r>
        <w:rPr>
          <w:i/>
          <w:iCs/>
        </w:rPr>
        <w:t xml:space="preserve">Claves:</w:t>
      </w:r>
      <w:r>
        <w:t xml:space="preserve"> índices por socio y estado. </w:t>
      </w:r>
      <w:r>
        <w:rPr>
          <w:i/>
          <w:iCs/>
        </w:rPr>
        <w:t xml:space="preserve">Relaciones:</w:t>
      </w:r>
      <w:r>
        <w:t xml:space="preserve"> a la ficha en cascada, a quien decidió y
al movimiento que la ejecutó. </w:t>
      </w:r>
      <w:r>
        <w:rPr>
          <w:i/>
          <w:iCs/>
        </w:rPr>
        <w:t xml:space="preserve">Volumen:</w:t>
      </w:r>
      <w:r>
        <w:t xml:space="preserve"> —</w:t>
      </w:r>
    </w:p>
    <w:p>
      <w:pPr>
        <w:spacing w:after="120"/>
      </w:pPr>
      <w:r>
        <w:t xml:space="preserve">Un acta se identifica por </w:t>
      </w:r>
      <w:r>
        <w:rPr>
          <w:b/>
          <w:bCs/>
        </w:rPr>
        <w:t xml:space="preserve">tipo y número</w:t>
      </w:r>
      <w:r>
        <w:t xml:space="preserve">, nunca por su id: "Acta N° 16" sin decir si es de
Comisión Directiva o de Asamblea señala dos documentos distintos, y los dos suelen existir.
Las dos columnas de la foto de cierre de </w:t>
      </w:r>
      <w:r>
        <w:rPr>
          <w:rFonts w:ascii="Consolas" w:cs="Consolas" w:eastAsia="Consolas" w:hAnsi="Consolas"/>
          <w:sz w:val="20"/>
          <w:szCs w:val="20"/>
          <w:shd w:fill="F1F5F9" w:color="auto" w:val="clear"/>
        </w:rPr>
        <w:t xml:space="preserve">memberships</w:t>
      </w:r>
      <w:r>
        <w:t xml:space="preserve"> siguen en nulo: se escriben recién
cuando un libro se cierra, y el Libro N° 1 está abierto.</w:t>
      </w:r>
    </w:p>
    <w:p>
      <w:pPr>
        <w:pStyle w:val="Heading2"/>
      </w:pPr>
      <w:r>
        <w:t xml:space="preserve">Solicitudes de alta</w:t>
      </w:r>
    </w:p>
    <w:p>
      <w:pPr>
        <w:keepNext/>
        <w:spacing w:after="60" w:before="120"/>
        <w:jc w:val="center"/>
      </w:pPr>
      <w:r>
        <w:drawing>
          <wp:inline distT="0" distB="0" distL="0" distR="0">
            <wp:extent cx="5038725"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3648075"/>
                    </a:xfrm>
                    <a:prstGeom prst="rect">
                      <a:avLst/>
                    </a:prstGeom>
                  </pic:spPr>
                </pic:pic>
              </a:graphicData>
            </a:graphic>
          </wp:inline>
        </w:drawing>
      </w:r>
    </w:p>
    <w:p>
      <w:pPr>
        <w:spacing w:after="200"/>
        <w:jc w:val="center"/>
      </w:pPr>
      <w:r>
        <w:rPr>
          <w:i/>
          <w:iCs/>
          <w:color w:val="444444"/>
          <w:sz w:val="18"/>
          <w:szCs w:val="18"/>
        </w:rPr>
        <w:t xml:space="preserve">Figura 3 — La solicitud del alta web, sus enlaces de un solo uso y la tabla polimórfica de documentos.</w:t>
      </w:r>
    </w:p>
    <w:p>
      <w:pPr>
        <w:pStyle w:val="ListParagraph"/>
        <w:numPr>
          <w:ilvl w:val="0"/>
          <w:numId w:val="2"/>
        </w:numPr>
        <w:spacing w:after="60"/>
      </w:pPr>
      <w:r>
        <w:rPr>
          <w:rFonts w:ascii="Consolas" w:cs="Consolas" w:eastAsia="Consolas" w:hAnsi="Consolas"/>
          <w:b/>
          <w:bCs/>
          <w:sz w:val="20"/>
          <w:szCs w:val="20"/>
          <w:shd w:fill="F1F5F9" w:color="auto" w:val="clear"/>
        </w:rPr>
        <w:t xml:space="preserve">applications</w:t>
      </w:r>
      <w:r>
        <w:t xml:space="preserve"> — la solicitud que deja el formulario público de asociarse. </w:t>
      </w:r>
      <w:r>
        <w:rPr>
          <w:i/>
          <w:iCs/>
        </w:rPr>
        <w:t xml:space="preserve">Uniques:</w:t>
      </w:r>
      <w:r>
        <w:t xml:space="preserve"> la
suscripción y el enlace de retome; el documento de identidad </w:t>
      </w:r>
      <w:r>
        <w:rPr>
          <w:b/>
          <w:bCs/>
        </w:rPr>
        <w:t xml:space="preserve">no</w:t>
      </w:r>
      <w:r>
        <w:t xml:space="preserve">. </w:t>
      </w:r>
      <w:r>
        <w:rPr>
          <w:i/>
          <w:iCs/>
        </w:rPr>
        <w:t xml:space="preserve">Relaciones:</w:t>
      </w:r>
      <w:r>
        <w:t xml:space="preserve"> a la
ficha si es un reingreso, al acta y a la calle; cuelgan de ella los enlaces de un solo uso,
los cobros y los avisos. </w:t>
      </w:r>
      <w:r>
        <w:rPr>
          <w:i/>
          <w:iCs/>
        </w:rPr>
        <w:t xml:space="preserve">Volumen:</w:t>
      </w:r>
      <w:r>
        <w:t xml:space="preserve"> —</w:t>
      </w:r>
    </w:p>
    <w:p>
      <w:pPr>
        <w:pStyle w:val="ListParagraph"/>
        <w:numPr>
          <w:ilvl w:val="0"/>
          <w:numId w:val="2"/>
        </w:numPr>
        <w:spacing w:after="240"/>
      </w:pPr>
      <w:r>
        <w:rPr>
          <w:rFonts w:ascii="Consolas" w:cs="Consolas" w:eastAsia="Consolas" w:hAnsi="Consolas"/>
          <w:b/>
          <w:bCs/>
          <w:sz w:val="20"/>
          <w:szCs w:val="20"/>
          <w:shd w:fill="F1F5F9" w:color="auto" w:val="clear"/>
        </w:rPr>
        <w:t xml:space="preserve">documents</w:t>
      </w:r>
      <w:r>
        <w:t xml:space="preserve"> — las dos caras del DNI y los anexos. </w:t>
      </w:r>
      <w:r>
        <w:rPr>
          <w:i/>
          <w:iCs/>
        </w:rPr>
        <w:t xml:space="preserve">Claves:</w:t>
      </w:r>
      <w:r>
        <w:t xml:space="preserve"> índice por dueño.
</w:t>
      </w:r>
      <w:r>
        <w:rPr>
          <w:i/>
          <w:iCs/>
        </w:rPr>
        <w:t xml:space="preserve">Relaciones:</w:t>
      </w:r>
      <w:r>
        <w:t xml:space="preserve"> el dueño es </w:t>
      </w:r>
      <w:r>
        <w:rPr>
          <w:b/>
          <w:bCs/>
        </w:rPr>
        <w:t xml:space="preserve">polimórfico y no tiene clave foránea</w:t>
      </w:r>
      <w:r>
        <w:t xml:space="preserve"> —una solicitud, una ficha
o una presentación, según diga su columna de tipo— y la integridad la cuida la capa de
servicio. </w:t>
      </w:r>
      <w:r>
        <w:rPr>
          <w:i/>
          <w:iCs/>
        </w:rPr>
        <w:t xml:space="preserve">Volumen:</w:t>
      </w:r>
      <w:r>
        <w:t xml:space="preserve"> —</w:t>
      </w:r>
    </w:p>
    <w:p>
      <w:pPr>
        <w:spacing w:after="120"/>
      </w:pPr>
      <w:r>
        <w:t xml:space="preserve">La solicitud es un espejo de la ficha donde los mismos campos son obligatorios, porque el
alta web exige la ficha completa y el padrón histórico vino incompleto. De los enlaces sólo se
guarda el hash: el valor crudo viaja una sola vez.</w:t>
      </w:r>
    </w:p>
    <w:p>
      <w:pPr>
        <w:pStyle w:val="Heading2"/>
      </w:pPr>
      <w:r>
        <w:t xml:space="preserve">Tesorería</w:t>
      </w:r>
    </w:p>
    <w:p>
      <w:pPr>
        <w:keepNext/>
        <w:spacing w:after="60" w:before="120"/>
        <w:jc w:val="center"/>
      </w:pPr>
      <w:r>
        <w:drawing>
          <wp:inline distT="0" distB="0" distL="0" distR="0">
            <wp:extent cx="5400675"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552825"/>
                    </a:xfrm>
                    <a:prstGeom prst="rect">
                      <a:avLst/>
                    </a:prstGeom>
                  </pic:spPr>
                </pic:pic>
              </a:graphicData>
            </a:graphic>
          </wp:inline>
        </w:drawing>
      </w:r>
    </w:p>
    <w:p>
      <w:pPr>
        <w:spacing w:after="200"/>
        <w:jc w:val="center"/>
      </w:pPr>
      <w:r>
        <w:rPr>
          <w:i/>
          <w:iCs/>
          <w:color w:val="444444"/>
          <w:sz w:val="18"/>
          <w:szCs w:val="18"/>
        </w:rPr>
        <w:t xml:space="preserve">Figura 4 — La cuenta corriente: cuotas, cobros, recibos y exenciones.</w:t>
      </w:r>
    </w:p>
    <w:p>
      <w:pPr>
        <w:pStyle w:val="ListParagraph"/>
        <w:numPr>
          <w:ilvl w:val="0"/>
          <w:numId w:val="2"/>
        </w:numPr>
        <w:spacing w:after="60"/>
      </w:pPr>
      <w:r>
        <w:rPr>
          <w:rFonts w:ascii="Consolas" w:cs="Consolas" w:eastAsia="Consolas" w:hAnsi="Consolas"/>
          <w:b/>
          <w:bCs/>
          <w:sz w:val="20"/>
          <w:szCs w:val="20"/>
          <w:shd w:fill="F1F5F9" w:color="auto" w:val="clear"/>
        </w:rPr>
        <w:t xml:space="preserve">fee_values</w:t>
      </w:r>
      <w:r>
        <w:t xml:space="preserve"> — el valor de cuota vigente y toda su historia: la </w:t>
      </w:r>
      <w:r>
        <w:rPr>
          <w:b/>
          <w:bCs/>
        </w:rPr>
        <w:t xml:space="preserve">única</w:t>
      </w:r>
      <w:r>
        <w:t xml:space="preserve"> fuente de
montos. </w:t>
      </w:r>
      <w:r>
        <w:rPr>
          <w:i/>
          <w:iCs/>
        </w:rPr>
        <w:t xml:space="preserve">Claves:</w:t>
      </w:r>
      <w:r>
        <w:t xml:space="preserve"> índice por vigencia. </w:t>
      </w:r>
      <w:r>
        <w:rPr>
          <w:i/>
          <w:iCs/>
        </w:rPr>
        <w:t xml:space="preserve">Relaciones:</w:t>
      </w:r>
      <w:r>
        <w:t xml:space="preserve"> al acta y al autor.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fees</w:t>
      </w:r>
      <w:r>
        <w:t xml:space="preserve"> — la cuota de un socio y un mes, </w:t>
      </w:r>
      <w:r>
        <w:rPr>
          <w:b/>
          <w:bCs/>
        </w:rPr>
        <w:t xml:space="preserve">sin monto</w:t>
      </w:r>
      <w:r>
        <w:t xml:space="preserve">. </w:t>
      </w:r>
      <w:r>
        <w:rPr>
          <w:i/>
          <w:iCs/>
        </w:rPr>
        <w:t xml:space="preserve">Uniques:</w:t>
      </w:r>
      <w:r>
        <w:t xml:space="preserve">
</w:t>
      </w:r>
      <w:r>
        <w:rPr>
          <w:rFonts w:ascii="Consolas" w:cs="Consolas" w:eastAsia="Consolas" w:hAnsi="Consolas"/>
          <w:sz w:val="20"/>
          <w:szCs w:val="20"/>
          <w:shd w:fill="F1F5F9" w:color="auto" w:val="clear"/>
        </w:rPr>
        <w:t xml:space="preserve">[member_id, period]</w:t>
      </w:r>
      <w:r>
        <w:t xml:space="preserve">. </w:t>
      </w:r>
      <w:r>
        <w:rPr>
          <w:i/>
          <w:iCs/>
        </w:rPr>
        <w:t xml:space="preserve">Relaciones:</w:t>
      </w:r>
      <w:r>
        <w:t xml:space="preserve"> a la ficha en cascada y al cobro que la pagó.
</w:t>
      </w:r>
      <w:r>
        <w:rPr>
          <w:i/>
          <w:iCs/>
        </w:rPr>
        <w:t xml:space="preserve">Volumen:</w:t>
      </w:r>
      <w:r>
        <w:t xml:space="preserve"> 3076 cuotas importadas, de 118 socios, por los años 2022 a 2026.</w:t>
      </w:r>
    </w:p>
    <w:p>
      <w:pPr>
        <w:pStyle w:val="ListParagraph"/>
        <w:numPr>
          <w:ilvl w:val="0"/>
          <w:numId w:val="2"/>
        </w:numPr>
        <w:spacing w:after="60"/>
      </w:pPr>
      <w:r>
        <w:rPr>
          <w:rFonts w:ascii="Consolas" w:cs="Consolas" w:eastAsia="Consolas" w:hAnsi="Consolas"/>
          <w:b/>
          <w:bCs/>
          <w:sz w:val="20"/>
          <w:szCs w:val="20"/>
          <w:shd w:fill="F1F5F9" w:color="auto" w:val="clear"/>
        </w:rPr>
        <w:t xml:space="preserve">payments</w:t>
      </w:r>
      <w:r>
        <w:t xml:space="preserve"> — el cobro, de mostrador o de Mercado Pago. </w:t>
      </w:r>
      <w:r>
        <w:rPr>
          <w:i/>
          <w:iCs/>
        </w:rPr>
        <w:t xml:space="preserve">Uniques:</w:t>
      </w:r>
      <w:r>
        <w:t xml:space="preserve"> el identificador del
pago de Mercado Pago. </w:t>
      </w:r>
      <w:r>
        <w:rPr>
          <w:i/>
          <w:iCs/>
        </w:rPr>
        <w:t xml:space="preserve">Relaciones:</w:t>
      </w:r>
      <w:r>
        <w:t xml:space="preserve"> a la ficha y a la solicitud, a lo sumo un recibo, y se
autorreferencia para el reparto de un cobro entre socios.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receipts</w:t>
      </w:r>
      <w:r>
        <w:t xml:space="preserve"> — el recibo de la serie societaria. </w:t>
      </w:r>
      <w:r>
        <w:rPr>
          <w:i/>
          <w:iCs/>
        </w:rPr>
        <w:t xml:space="preserve">Uniques:</w:t>
      </w:r>
      <w:r>
        <w:t xml:space="preserve"> tres, el número, el par de año
y secuencia, y el cobro. </w:t>
      </w:r>
      <w:r>
        <w:rPr>
          <w:i/>
          <w:iCs/>
        </w:rPr>
        <w:t xml:space="preserve">Relaciones:</w:t>
      </w:r>
      <w:r>
        <w:t xml:space="preserve"> al cobro, con </w:t>
      </w:r>
      <w:r>
        <w:rPr>
          <w:rFonts w:ascii="Consolas" w:cs="Consolas" w:eastAsia="Consolas" w:hAnsi="Consolas"/>
          <w:sz w:val="20"/>
          <w:szCs w:val="20"/>
          <w:shd w:fill="F1F5F9" w:color="auto" w:val="clear"/>
        </w:rPr>
        <w:t xml:space="preserve">Restrict</w:t>
      </w:r>
      <w:r>
        <w:t xml:space="preserve">.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receipt_sequences</w:t>
      </w:r>
      <w:r>
        <w:t xml:space="preserve"> — el contador anual de la serie. </w:t>
      </w:r>
      <w:r>
        <w:rPr>
          <w:i/>
          <w:iCs/>
        </w:rPr>
        <w:t xml:space="preserve">Claves:</w:t>
      </w:r>
      <w:r>
        <w:t xml:space="preserve"> el año es la primaria.
</w:t>
      </w:r>
      <w:r>
        <w:rPr>
          <w:i/>
          <w:iCs/>
        </w:rPr>
        <w:t xml:space="preserve">Relaciones:</w:t>
      </w:r>
      <w:r>
        <w:t xml:space="preserve"> ninguna. </w:t>
      </w:r>
      <w:r>
        <w:rPr>
          <w:i/>
          <w:iCs/>
        </w:rPr>
        <w:t xml:space="preserve">Volumen:</w:t>
      </w:r>
      <w:r>
        <w:t xml:space="preserve"> una fila por año.</w:t>
      </w:r>
    </w:p>
    <w:p>
      <w:pPr>
        <w:pStyle w:val="ListParagraph"/>
        <w:numPr>
          <w:ilvl w:val="0"/>
          <w:numId w:val="2"/>
        </w:numPr>
        <w:spacing w:after="60"/>
      </w:pPr>
      <w:r>
        <w:rPr>
          <w:rFonts w:ascii="Consolas" w:cs="Consolas" w:eastAsia="Consolas" w:hAnsi="Consolas"/>
          <w:b/>
          <w:bCs/>
          <w:sz w:val="20"/>
          <w:szCs w:val="20"/>
          <w:shd w:fill="F1F5F9" w:color="auto" w:val="clear"/>
        </w:rPr>
        <w:t xml:space="preserve">other_incomes</w:t>
      </w:r>
      <w:r>
        <w:t xml:space="preserve"> — plata de la asociación que no es de ningún socio: alquileres, rifas.
</w:t>
      </w:r>
      <w:r>
        <w:rPr>
          <w:i/>
          <w:iCs/>
        </w:rPr>
        <w:t xml:space="preserve">Uniques:</w:t>
      </w:r>
      <w:r>
        <w:t xml:space="preserve"> el identificador del pago. </w:t>
      </w:r>
      <w:r>
        <w:rPr>
          <w:i/>
          <w:iCs/>
        </w:rPr>
        <w:t xml:space="preserve">Relaciones:</w:t>
      </w:r>
      <w:r>
        <w:t xml:space="preserve"> </w:t>
      </w:r>
      <w:r>
        <w:rPr>
          <w:b/>
          <w:bCs/>
        </w:rPr>
        <w:t xml:space="preserve">ninguna al núcleo de plata</w:t>
      </w:r>
      <w:r>
        <w:t xml:space="preserve">, a
propósito; sólo a quien registró y a quien anuló.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fee_exemptions</w:t>
      </w:r>
      <w:r>
        <w:t xml:space="preserve"> — la exención de cuota del Art. 7 inc. a.4. </w:t>
      </w:r>
      <w:r>
        <w:rPr>
          <w:i/>
          <w:iCs/>
        </w:rPr>
        <w:t xml:space="preserve">Claves:</w:t>
      </w:r>
      <w:r>
        <w:t xml:space="preserve"> índice por socio.
</w:t>
      </w:r>
      <w:r>
        <w:rPr>
          <w:i/>
          <w:iCs/>
        </w:rPr>
        <w:t xml:space="preserve">Relaciones:</w:t>
      </w:r>
      <w:r>
        <w:t xml:space="preserve"> a la ficha y a las dos actas —la del asiento y la de la anulación—, las tres
con </w:t>
      </w:r>
      <w:r>
        <w:rPr>
          <w:rFonts w:ascii="Consolas" w:cs="Consolas" w:eastAsia="Consolas" w:hAnsi="Consolas"/>
          <w:sz w:val="20"/>
          <w:szCs w:val="20"/>
          <w:shd w:fill="F1F5F9" w:color="auto" w:val="clear"/>
        </w:rPr>
        <w:t xml:space="preserve">Restrict</w:t>
      </w:r>
      <w:r>
        <w:t xml:space="preserve">. </w:t>
      </w:r>
      <w:r>
        <w:rPr>
          <w:i/>
          <w:iCs/>
        </w:rPr>
        <w:t xml:space="preserve">Volumen:</w:t>
      </w:r>
      <w:r>
        <w:t xml:space="preserve"> —</w:t>
      </w:r>
    </w:p>
    <w:p>
      <w:pPr>
        <w:pStyle w:val="ListParagraph"/>
        <w:numPr>
          <w:ilvl w:val="0"/>
          <w:numId w:val="2"/>
        </w:numPr>
        <w:spacing w:after="240"/>
      </w:pPr>
      <w:r>
        <w:rPr>
          <w:rFonts w:ascii="Consolas" w:cs="Consolas" w:eastAsia="Consolas" w:hAnsi="Consolas"/>
          <w:b/>
          <w:bCs/>
          <w:sz w:val="20"/>
          <w:szCs w:val="20"/>
          <w:shd w:fill="F1F5F9" w:color="auto" w:val="clear"/>
        </w:rPr>
        <w:t xml:space="preserve">mp_unmatched_payments</w:t>
      </w:r>
      <w:r>
        <w:t xml:space="preserve"> — la bandeja de los cobros que no se pudieron imputar.
</w:t>
      </w:r>
      <w:r>
        <w:rPr>
          <w:i/>
          <w:iCs/>
        </w:rPr>
        <w:t xml:space="preserve">Uniques:</w:t>
      </w:r>
      <w:r>
        <w:t xml:space="preserve"> el identificador del pago. </w:t>
      </w:r>
      <w:r>
        <w:rPr>
          <w:i/>
          <w:iCs/>
        </w:rPr>
        <w:t xml:space="preserve">Relaciones:</w:t>
      </w:r>
      <w:r>
        <w:t xml:space="preserve"> al cobro que la resolvió y a quien lo
hizo. </w:t>
      </w:r>
      <w:r>
        <w:rPr>
          <w:i/>
          <w:iCs/>
        </w:rPr>
        <w:t xml:space="preserve">Volumen:</w:t>
      </w:r>
      <w:r>
        <w:t xml:space="preserve"> —</w:t>
      </w:r>
    </w:p>
    <w:p>
      <w:pPr>
        <w:spacing w:after="120"/>
      </w:pPr>
      <w:r>
        <w:rPr>
          <w:b/>
          <w:bCs/>
        </w:rPr>
        <w:t xml:space="preserve">Que la cuota no lleve monto es la decisión que ordena el dominio entero.</w:t>
      </w:r>
      <w:r>
        <w:t xml:space="preserve"> La deuda se valúa
al valor vigente en el momento del pago, así que guardarle un importe sería guardar un dato
que caduca; y un valor nunca se edita: se registra otro encima, como un acta. El número de
recibo se pide </w:t>
      </w:r>
      <w:r>
        <w:rPr>
          <w:b/>
          <w:bCs/>
        </w:rPr>
        <w:t xml:space="preserve">dentro</w:t>
      </w:r>
      <w:r>
        <w:t xml:space="preserve"> de la transacción del cobro, contra la tabla de secuencias, que
bloquea la fila del año hasta el commit: dos cobros simultáneos se serializan y una
transacción abortada no consume número. Anular un recibo </w:t>
      </w:r>
      <w:r>
        <w:rPr>
          <w:b/>
          <w:bCs/>
        </w:rPr>
        <w:t xml:space="preserve">no</w:t>
      </w:r>
      <w:r>
        <w:t xml:space="preserve"> borra el identificador de
Mercado Pago, que es la barrera de idempotencia del dinero.</w:t>
      </w:r>
    </w:p>
    <w:p>
      <w:pPr>
        <w:pStyle w:val="Heading2"/>
      </w:pPr>
      <w:r>
        <w:t xml:space="preserve">Mercado Pago</w:t>
      </w:r>
    </w:p>
    <w:p>
      <w:pPr>
        <w:keepNext/>
        <w:spacing w:after="60" w:before="120"/>
        <w:jc w:val="center"/>
      </w:pPr>
      <w:r>
        <w:drawing>
          <wp:inline distT="0" distB="0" distL="0" distR="0">
            <wp:extent cx="43243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819400"/>
                    </a:xfrm>
                    <a:prstGeom prst="rect">
                      <a:avLst/>
                    </a:prstGeom>
                  </pic:spPr>
                </pic:pic>
              </a:graphicData>
            </a:graphic>
          </wp:inline>
        </w:drawing>
      </w:r>
    </w:p>
    <w:p>
      <w:pPr>
        <w:spacing w:after="200"/>
        <w:jc w:val="center"/>
      </w:pPr>
      <w:r>
        <w:rPr>
          <w:i/>
          <w:iCs/>
          <w:color w:val="444444"/>
          <w:sz w:val="18"/>
          <w:szCs w:val="18"/>
        </w:rPr>
        <w:t xml:space="preserve">Figura 5 — Las suscripciones, la bandeja de cobros sin imputar y de dónde cuelgan.</w:t>
      </w:r>
    </w:p>
    <w:p>
      <w:pPr>
        <w:pStyle w:val="ListParagraph"/>
        <w:numPr>
          <w:ilvl w:val="0"/>
          <w:numId w:val="2"/>
        </w:numPr>
        <w:spacing w:after="60"/>
      </w:pPr>
      <w:r>
        <w:rPr>
          <w:rFonts w:ascii="Consolas" w:cs="Consolas" w:eastAsia="Consolas" w:hAnsi="Consolas"/>
          <w:b/>
          <w:bCs/>
          <w:sz w:val="20"/>
          <w:szCs w:val="20"/>
          <w:shd w:fill="F1F5F9" w:color="auto" w:val="clear"/>
        </w:rPr>
        <w:t xml:space="preserve">mp_subscriptions</w:t>
      </w:r>
      <w:r>
        <w:t xml:space="preserve"> — el espejo local de una suscripción de débito automático.
</w:t>
      </w:r>
      <w:r>
        <w:rPr>
          <w:i/>
          <w:iCs/>
        </w:rPr>
        <w:t xml:space="preserve">Uniques:</w:t>
      </w:r>
      <w:r>
        <w:t xml:space="preserve"> </w:t>
      </w:r>
      <w:r>
        <w:rPr>
          <w:rFonts w:ascii="Consolas" w:cs="Consolas" w:eastAsia="Consolas" w:hAnsi="Consolas"/>
          <w:sz w:val="20"/>
          <w:szCs w:val="20"/>
          <w:shd w:fill="F1F5F9" w:color="auto" w:val="clear"/>
        </w:rPr>
        <w:t xml:space="preserve">preapproval_id</w:t>
      </w:r>
      <w:r>
        <w:t xml:space="preserve">. </w:t>
      </w:r>
      <w:r>
        <w:rPr>
          <w:i/>
          <w:iCs/>
        </w:rPr>
        <w:t xml:space="preserve">Relaciones:</w:t>
      </w:r>
      <w:r>
        <w:t xml:space="preserve"> a la solicitud y a la ficha, y el socio es
</w:t>
      </w:r>
      <w:r>
        <w:rPr>
          <w:b/>
          <w:bCs/>
        </w:rPr>
        <w:t xml:space="preserve">sólo</w:t>
      </w:r>
      <w:r>
        <w:t xml:space="preserve"> un índice, así que nada impide dos suscripciones vivas para la misma persona.
</w:t>
      </w:r>
      <w:r>
        <w:rPr>
          <w:i/>
          <w:iCs/>
        </w:rPr>
        <w:t xml:space="preserve">Volumen:</w:t>
      </w:r>
      <w:r>
        <w:t xml:space="preserve"> —</w:t>
      </w:r>
    </w:p>
    <w:p>
      <w:pPr>
        <w:pStyle w:val="ListParagraph"/>
        <w:numPr>
          <w:ilvl w:val="0"/>
          <w:numId w:val="2"/>
        </w:numPr>
        <w:spacing w:after="240"/>
      </w:pPr>
      <w:r>
        <w:rPr>
          <w:rFonts w:ascii="Consolas" w:cs="Consolas" w:eastAsia="Consolas" w:hAnsi="Consolas"/>
          <w:b/>
          <w:bCs/>
          <w:sz w:val="20"/>
          <w:szCs w:val="20"/>
          <w:shd w:fill="F1F5F9" w:color="auto" w:val="clear"/>
        </w:rPr>
        <w:t xml:space="preserve">webhook_events</w:t>
      </w:r>
      <w:r>
        <w:t xml:space="preserve"> — el registro crudo de cada notificación entrante, con su cuerpo en
JSON. </w:t>
      </w:r>
      <w:r>
        <w:rPr>
          <w:i/>
          <w:iCs/>
        </w:rPr>
        <w:t xml:space="preserve">Uniques:</w:t>
      </w:r>
      <w:r>
        <w:t xml:space="preserve"> </w:t>
      </w:r>
      <w:r>
        <w:rPr>
          <w:rFonts w:ascii="Consolas" w:cs="Consolas" w:eastAsia="Consolas" w:hAnsi="Consolas"/>
          <w:sz w:val="20"/>
          <w:szCs w:val="20"/>
          <w:shd w:fill="F1F5F9" w:color="auto" w:val="clear"/>
        </w:rPr>
        <w:t xml:space="preserve">[origin, external_event_id]</w:t>
      </w:r>
      <w:r>
        <w:t xml:space="preserve">. </w:t>
      </w:r>
      <w:r>
        <w:rPr>
          <w:i/>
          <w:iCs/>
        </w:rPr>
        <w:t xml:space="preserve">Relaciones:</w:t>
      </w:r>
      <w:r>
        <w:t xml:space="preserve"> ninguna. </w:t>
      </w:r>
      <w:r>
        <w:rPr>
          <w:i/>
          <w:iCs/>
        </w:rPr>
        <w:t xml:space="preserve">Volumen:</w:t>
      </w:r>
      <w:r>
        <w:t xml:space="preserve"> —</w:t>
      </w:r>
    </w:p>
    <w:p>
      <w:pPr>
        <w:spacing w:after="120"/>
      </w:pPr>
      <w:r>
        <w:t xml:space="preserve">El estado de la suscripción es texto y </w:t>
      </w:r>
      <w:r>
        <w:rPr>
          <w:b/>
          <w:bCs/>
        </w:rPr>
        <w:t xml:space="preserve">no</w:t>
      </w:r>
      <w:r>
        <w:t xml:space="preserve"> un enum: el catálogo es del proveedor y puede
crecer sin avisar. El unique de </w:t>
      </w:r>
      <w:r>
        <w:rPr>
          <w:rFonts w:ascii="Consolas" w:cs="Consolas" w:eastAsia="Consolas" w:hAnsi="Consolas"/>
          <w:sz w:val="20"/>
          <w:szCs w:val="20"/>
          <w:shd w:fill="F1F5F9" w:color="auto" w:val="clear"/>
        </w:rPr>
        <w:t xml:space="preserve">webhook_events</w:t>
      </w:r>
      <w:r>
        <w:t xml:space="preserve"> </w:t>
      </w:r>
      <w:r>
        <w:rPr>
          <w:b/>
          <w:bCs/>
        </w:rPr>
        <w:t xml:space="preserve">es</w:t>
      </w:r>
      <w:r>
        <w:t xml:space="preserve"> la idempotencia de la ruta que recibe
los avisos, y es la primera de dos capas: la segunda es el identificador del pago en el cobro.</w:t>
      </w:r>
    </w:p>
    <w:p>
      <w:pPr>
        <w:pStyle w:val="Heading2"/>
      </w:pPr>
      <w:r>
        <w:t xml:space="preserve">Re-empadronamiento</w:t>
      </w:r>
    </w:p>
    <w:p>
      <w:pPr>
        <w:keepNext/>
        <w:spacing w:after="60" w:before="120"/>
        <w:jc w:val="center"/>
      </w:pPr>
      <w:r>
        <w:drawing>
          <wp:inline distT="0" distB="0" distL="0" distR="0">
            <wp:extent cx="432435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5800725"/>
                    </a:xfrm>
                    <a:prstGeom prst="rect">
                      <a:avLst/>
                    </a:prstGeom>
                  </pic:spPr>
                </pic:pic>
              </a:graphicData>
            </a:graphic>
          </wp:inline>
        </w:drawing>
      </w:r>
    </w:p>
    <w:p>
      <w:pPr>
        <w:spacing w:after="200"/>
        <w:jc w:val="center"/>
      </w:pPr>
      <w:r>
        <w:rPr>
          <w:i/>
          <w:iCs/>
          <w:color w:val="444444"/>
          <w:sz w:val="18"/>
          <w:szCs w:val="18"/>
        </w:rPr>
        <w:t xml:space="preserve">Figura 6 — El proceso del Art. 9° bis: la cohorte congelada al convocar y la cartelera física.</w:t>
      </w:r>
    </w:p>
    <w:p>
      <w:pPr>
        <w:pStyle w:val="ListParagraph"/>
        <w:numPr>
          <w:ilvl w:val="0"/>
          <w:numId w:val="2"/>
        </w:numPr>
        <w:spacing w:after="60"/>
      </w:pPr>
      <w:r>
        <w:rPr>
          <w:rFonts w:ascii="Consolas" w:cs="Consolas" w:eastAsia="Consolas" w:hAnsi="Consolas"/>
          <w:b/>
          <w:bCs/>
          <w:sz w:val="20"/>
          <w:szCs w:val="20"/>
          <w:shd w:fill="F1F5F9" w:color="auto" w:val="clear"/>
        </w:rPr>
        <w:t xml:space="preserve">reregistration_processes</w:t>
      </w:r>
      <w:r>
        <w:t xml:space="preserve"> — el proceso completo, con sus dos instancias. </w:t>
      </w:r>
      <w:r>
        <w:rPr>
          <w:i/>
          <w:iCs/>
        </w:rPr>
        <w:t xml:space="preserve">Relaciones:</w:t>
      </w:r>
      <w:r>
        <w:t xml:space="preserve">
al libro que cierra y a las actas de convocatoria —obligatoria— y de cierre.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presentations</w:t>
      </w:r>
      <w:r>
        <w:t xml:space="preserve"> — lo que el socio presenta para ratificar su condición. </w:t>
      </w:r>
      <w:r>
        <w:rPr>
          <w:i/>
          <w:iCs/>
        </w:rPr>
        <w:t xml:space="preserve">Uniques:</w:t>
      </w:r>
      <w:r>
        <w:t xml:space="preserve">
</w:t>
      </w:r>
      <w:r>
        <w:rPr>
          <w:rFonts w:ascii="Consolas" w:cs="Consolas" w:eastAsia="Consolas" w:hAnsi="Consolas"/>
          <w:sz w:val="20"/>
          <w:szCs w:val="20"/>
          <w:shd w:fill="F1F5F9" w:color="auto" w:val="clear"/>
        </w:rPr>
        <w:t xml:space="preserve">[process_id, member_id]</w:t>
      </w:r>
      <w:r>
        <w:t xml:space="preserve"> y el enlace de retome. </w:t>
      </w:r>
      <w:r>
        <w:rPr>
          <w:i/>
          <w:iCs/>
        </w:rPr>
        <w:t xml:space="preserve">Relaciones:</w:t>
      </w:r>
      <w:r>
        <w:t xml:space="preserve"> al proceso, a la ficha, a la
calle y a quien validó. </w:t>
      </w:r>
      <w:r>
        <w:rPr>
          <w:i/>
          <w:iCs/>
        </w:rPr>
        <w:t xml:space="preserve">Volumen:</w:t>
      </w:r>
      <w:r>
        <w:t xml:space="preserve"> una fila por convocado.</w:t>
      </w:r>
    </w:p>
    <w:p>
      <w:pPr>
        <w:pStyle w:val="ListParagraph"/>
        <w:numPr>
          <w:ilvl w:val="0"/>
          <w:numId w:val="2"/>
        </w:numPr>
        <w:spacing w:after="60"/>
      </w:pPr>
      <w:r>
        <w:rPr>
          <w:rFonts w:ascii="Consolas" w:cs="Consolas" w:eastAsia="Consolas" w:hAnsi="Consolas"/>
          <w:b/>
          <w:bCs/>
          <w:sz w:val="20"/>
          <w:szCs w:val="20"/>
          <w:shd w:fill="F1F5F9" w:color="auto" w:val="clear"/>
        </w:rPr>
        <w:t xml:space="preserve">board_notices</w:t>
      </w:r>
      <w:r>
        <w:t xml:space="preserve"> — un cartel de la cartelera </w:t>
      </w:r>
      <w:r>
        <w:rPr>
          <w:b/>
          <w:bCs/>
        </w:rPr>
        <w:t xml:space="preserve">física</w:t>
      </w:r>
      <w:r>
        <w:t xml:space="preserve"> de la sede. </w:t>
      </w:r>
      <w:r>
        <w:rPr>
          <w:i/>
          <w:iCs/>
        </w:rPr>
        <w:t xml:space="preserve">Relaciones:</w:t>
      </w:r>
      <w:r>
        <w:t xml:space="preserve"> al
proceso, y lo citan las notificaciones que acredita. </w:t>
      </w:r>
      <w:r>
        <w:rPr>
          <w:i/>
          <w:iCs/>
        </w:rPr>
        <w:t xml:space="preserve">Volumen:</w:t>
      </w:r>
      <w:r>
        <w:t xml:space="preserve"> —</w:t>
      </w:r>
    </w:p>
    <w:p>
      <w:pPr>
        <w:pStyle w:val="ListParagraph"/>
        <w:numPr>
          <w:ilvl w:val="0"/>
          <w:numId w:val="2"/>
        </w:numPr>
        <w:spacing w:after="240"/>
      </w:pPr>
      <w:r>
        <w:rPr>
          <w:rFonts w:ascii="Consolas" w:cs="Consolas" w:eastAsia="Consolas" w:hAnsi="Consolas"/>
          <w:b/>
          <w:bCs/>
          <w:sz w:val="20"/>
          <w:szCs w:val="20"/>
          <w:shd w:fill="F1F5F9" w:color="auto" w:val="clear"/>
        </w:rPr>
        <w:t xml:space="preserve">holidays</w:t>
      </w:r>
      <w:r>
        <w:t xml:space="preserve"> — los feriados, para contar plazos en días hábiles. </w:t>
      </w:r>
      <w:r>
        <w:rPr>
          <w:i/>
          <w:iCs/>
        </w:rPr>
        <w:t xml:space="preserve">Uniques:</w:t>
      </w:r>
      <w:r>
        <w:t xml:space="preserve"> </w:t>
      </w:r>
      <w:r>
        <w:rPr>
          <w:rFonts w:ascii="Consolas" w:cs="Consolas" w:eastAsia="Consolas" w:hAnsi="Consolas"/>
          <w:sz w:val="20"/>
          <w:szCs w:val="20"/>
          <w:shd w:fill="F1F5F9" w:color="auto" w:val="clear"/>
        </w:rPr>
        <w:t xml:space="preserve">date</w:t>
      </w:r>
      <w:r>
        <w:t xml:space="preserve">.
</w:t>
      </w:r>
      <w:r>
        <w:rPr>
          <w:i/>
          <w:iCs/>
        </w:rPr>
        <w:t xml:space="preserve">Relaciones:</w:t>
      </w:r>
      <w:r>
        <w:t xml:space="preserve"> ninguna. </w:t>
      </w:r>
      <w:r>
        <w:rPr>
          <w:i/>
          <w:iCs/>
        </w:rPr>
        <w:t xml:space="preserve">Volumen:</w:t>
      </w:r>
      <w:r>
        <w:t xml:space="preserve"> los feriados nacionales de 2026 y 2027.</w:t>
      </w:r>
    </w:p>
    <w:p>
      <w:pPr>
        <w:spacing w:after="120"/>
      </w:pPr>
      <w:r>
        <w:t xml:space="preserve">La cohorte se congela al convocar: se crea una fila por cada adherente vigente en ese momento,
y ésa es la lista de convocados. Una fila pendiente </w:t>
      </w:r>
      <w:r>
        <w:rPr>
          <w:b/>
          <w:bCs/>
        </w:rPr>
        <w:t xml:space="preserve">no significa que el socio haya hecho
algo</w:t>
      </w:r>
      <w:r>
        <w:t xml:space="preserve">: existe para poder listar a quién le falta. Los datos declarados no tocan la ficha
hasta que la Comisión valida.</w:t>
      </w:r>
    </w:p>
    <w:p>
      <w:pPr>
        <w:pStyle w:val="Heading2"/>
      </w:pPr>
      <w:r>
        <w:t xml:space="preserve">Reportes</w:t>
      </w:r>
    </w:p>
    <w:p>
      <w:pPr>
        <w:keepNext/>
        <w:spacing w:after="60" w:before="120"/>
        <w:jc w:val="center"/>
      </w:pPr>
      <w:r>
        <w:drawing>
          <wp:inline distT="0" distB="0" distL="0" distR="0">
            <wp:extent cx="432435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4350" cy="5638800"/>
                    </a:xfrm>
                    <a:prstGeom prst="rect">
                      <a:avLst/>
                    </a:prstGeom>
                  </pic:spPr>
                </pic:pic>
              </a:graphicData>
            </a:graphic>
          </wp:inline>
        </w:drawing>
      </w:r>
    </w:p>
    <w:p>
      <w:pPr>
        <w:spacing w:after="200"/>
        <w:jc w:val="center"/>
      </w:pPr>
      <w:r>
        <w:rPr>
          <w:i/>
          <w:iCs/>
          <w:color w:val="444444"/>
          <w:sz w:val="18"/>
          <w:szCs w:val="18"/>
        </w:rPr>
        <w:t xml:space="preserve">Figura 7 — Reclamos e iniciativas, con sus archivos y su numeración pública.</w:t>
      </w:r>
    </w:p>
    <w:p>
      <w:pPr>
        <w:pStyle w:val="ListParagraph"/>
        <w:numPr>
          <w:ilvl w:val="0"/>
          <w:numId w:val="2"/>
        </w:numPr>
        <w:spacing w:after="60"/>
      </w:pPr>
      <w:r>
        <w:rPr>
          <w:rFonts w:ascii="Consolas" w:cs="Consolas" w:eastAsia="Consolas" w:hAnsi="Consolas"/>
          <w:b/>
          <w:bCs/>
          <w:sz w:val="20"/>
          <w:szCs w:val="20"/>
          <w:shd w:fill="F1F5F9" w:color="auto" w:val="clear"/>
        </w:rPr>
        <w:t xml:space="preserve">reports</w:t>
      </w:r>
      <w:r>
        <w:t xml:space="preserve"> — los reclamos y las iniciativas que entran los vecinos. </w:t>
      </w:r>
      <w:r>
        <w:rPr>
          <w:i/>
          <w:iCs/>
        </w:rPr>
        <w:t xml:space="preserve">Uniques:</w:t>
      </w:r>
      <w:r>
        <w:t xml:space="preserve"> el número
público —que admite nulo mientras es borrador— y la llave del borrador. </w:t>
      </w:r>
      <w:r>
        <w:rPr>
          <w:i/>
          <w:iCs/>
        </w:rPr>
        <w:t xml:space="preserve">Relaciones:</w:t>
      </w:r>
      <w:r>
        <w:t xml:space="preserve"> a la
ficha, a la calle, al acta con </w:t>
      </w:r>
      <w:r>
        <w:rPr>
          <w:rFonts w:ascii="Consolas" w:cs="Consolas" w:eastAsia="Consolas" w:hAnsi="Consolas"/>
          <w:sz w:val="20"/>
          <w:szCs w:val="20"/>
          <w:shd w:fill="F1F5F9" w:color="auto" w:val="clear"/>
        </w:rPr>
        <w:t xml:space="preserve">Restrict</w:t>
      </w:r>
      <w:r>
        <w:t xml:space="preserve"> y a los usuarios que resolvieron.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report_files</w:t>
      </w:r>
      <w:r>
        <w:t xml:space="preserve"> — las fotos y las dos caras del DNI. </w:t>
      </w:r>
      <w:r>
        <w:rPr>
          <w:i/>
          <w:iCs/>
        </w:rPr>
        <w:t xml:space="preserve">Claves:</w:t>
      </w:r>
      <w:r>
        <w:t xml:space="preserve"> índice por reporte y tipo.
</w:t>
      </w:r>
      <w:r>
        <w:rPr>
          <w:i/>
          <w:iCs/>
        </w:rPr>
        <w:t xml:space="preserve">Relaciones:</w:t>
      </w:r>
      <w:r>
        <w:t xml:space="preserve"> al reporte, en cascada. </w:t>
      </w:r>
      <w:r>
        <w:rPr>
          <w:i/>
          <w:iCs/>
        </w:rPr>
        <w:t xml:space="preserve">Volumen:</w:t>
      </w:r>
      <w:r>
        <w:t xml:space="preserve"> —</w:t>
      </w:r>
    </w:p>
    <w:p>
      <w:pPr>
        <w:pStyle w:val="ListParagraph"/>
        <w:numPr>
          <w:ilvl w:val="0"/>
          <w:numId w:val="2"/>
        </w:numPr>
        <w:spacing w:after="240"/>
      </w:pPr>
      <w:r>
        <w:rPr>
          <w:rFonts w:ascii="Consolas" w:cs="Consolas" w:eastAsia="Consolas" w:hAnsi="Consolas"/>
          <w:b/>
          <w:bCs/>
          <w:sz w:val="20"/>
          <w:szCs w:val="20"/>
          <w:shd w:fill="F1F5F9" w:color="auto" w:val="clear"/>
        </w:rPr>
        <w:t xml:space="preserve">report_sequences</w:t>
      </w:r>
      <w:r>
        <w:t xml:space="preserve"> — el contador del número público. </w:t>
      </w:r>
      <w:r>
        <w:rPr>
          <w:i/>
          <w:iCs/>
        </w:rPr>
        <w:t xml:space="preserve">Relaciones:</w:t>
      </w:r>
      <w:r>
        <w:t xml:space="preserve"> ninguna. </w:t>
      </w:r>
      <w:r>
        <w:rPr>
          <w:i/>
          <w:iCs/>
        </w:rPr>
        <w:t xml:space="preserve">Volumen:</w:t>
      </w:r>
      <w:r>
        <w:t xml:space="preserve">
una sola fila.</w:t>
      </w:r>
    </w:p>
    <w:p>
      <w:pPr>
        <w:spacing w:after="120"/>
      </w:pPr>
      <w:r>
        <w:t xml:space="preserve">Un </w:t>
      </w:r>
      <w:r>
        <w:rPr>
          <w:b/>
          <w:bCs/>
        </w:rPr>
        <w:t xml:space="preserve">reclamo</w:t>
      </w:r>
      <w:r>
        <w:t xml:space="preserve"> se presenta ante un organismo; una </w:t>
      </w:r>
      <w:r>
        <w:rPr>
          <w:b/>
          <w:bCs/>
        </w:rPr>
        <w:t xml:space="preserve">iniciativa</w:t>
      </w:r>
      <w:r>
        <w:t xml:space="preserve"> la trata la Comisión
Directiva, y por eso el acta va con </w:t>
      </w:r>
      <w:r>
        <w:rPr>
          <w:rFonts w:ascii="Consolas" w:cs="Consolas" w:eastAsia="Consolas" w:hAnsi="Consolas"/>
          <w:sz w:val="20"/>
          <w:szCs w:val="20"/>
          <w:shd w:fill="F1F5F9" w:color="auto" w:val="clear"/>
        </w:rPr>
        <w:t xml:space="preserve">Restrict</w:t>
      </w:r>
      <w:r>
        <w:t xml:space="preserve">: es el respaldo de que la trató. Toda imagen se
recodifica antes de tocar el disco, porque una foto sacada en la esquina del problema trae la
posición en los metadatos.</w:t>
      </w:r>
    </w:p>
    <w:p>
      <w:pPr>
        <w:pStyle w:val="Heading2"/>
      </w:pPr>
      <w:r>
        <w:t xml:space="preserve">Contenido</w:t>
      </w:r>
    </w:p>
    <w:p>
      <w:pPr>
        <w:spacing w:after="120"/>
      </w:pPr>
      <w:r>
        <w:t xml:space="preserve">Este dominio no lleva diagrama: dos de sus tablas apuntan sólo a su autor y la tercera no se
relaciona con nada.</w:t>
      </w:r>
    </w:p>
    <w:p>
      <w:pPr>
        <w:pStyle w:val="ListParagraph"/>
        <w:numPr>
          <w:ilvl w:val="0"/>
          <w:numId w:val="2"/>
        </w:numPr>
        <w:spacing w:after="60"/>
      </w:pPr>
      <w:r>
        <w:rPr>
          <w:rFonts w:ascii="Consolas" w:cs="Consolas" w:eastAsia="Consolas" w:hAnsi="Consolas"/>
          <w:b/>
          <w:bCs/>
          <w:sz w:val="20"/>
          <w:szCs w:val="20"/>
          <w:shd w:fill="F1F5F9" w:color="auto" w:val="clear"/>
        </w:rPr>
        <w:t xml:space="preserve">news</w:t>
      </w:r>
      <w:r>
        <w:t xml:space="preserve"> — la cartelera </w:t>
      </w:r>
      <w:r>
        <w:rPr>
          <w:b/>
          <w:bCs/>
        </w:rPr>
        <w:t xml:space="preserve">digital</w:t>
      </w:r>
      <w:r>
        <w:t xml:space="preserve"> del sitio público. </w:t>
      </w:r>
      <w:r>
        <w:rPr>
          <w:i/>
          <w:iCs/>
        </w:rPr>
        <w:t xml:space="preserve">Uniques:</w:t>
      </w:r>
      <w:r>
        <w:t xml:space="preserve"> </w:t>
      </w:r>
      <w:r>
        <w:rPr>
          <w:rFonts w:ascii="Consolas" w:cs="Consolas" w:eastAsia="Consolas" w:hAnsi="Consolas"/>
          <w:sz w:val="20"/>
          <w:szCs w:val="20"/>
          <w:shd w:fill="F1F5F9" w:color="auto" w:val="clear"/>
        </w:rPr>
        <w:t xml:space="preserve">slug</w:t>
      </w:r>
      <w:r>
        <w:t xml:space="preserve">. </w:t>
      </w:r>
      <w:r>
        <w:rPr>
          <w:i/>
          <w:iCs/>
        </w:rPr>
        <w:t xml:space="preserve">Relaciones:</w:t>
      </w:r>
      <w:r>
        <w:t xml:space="preserve"> al
autor. </w:t>
      </w:r>
      <w:r>
        <w:rPr>
          <w:i/>
          <w:iCs/>
        </w:rPr>
        <w:t xml:space="preserve">Volumen:</w:t>
      </w:r>
      <w:r>
        <w:t xml:space="preserve"> — El cuerpo se guarda como HTML ya saneado en el servidor.</w:t>
      </w:r>
    </w:p>
    <w:p>
      <w:pPr>
        <w:pStyle w:val="ListParagraph"/>
        <w:numPr>
          <w:ilvl w:val="0"/>
          <w:numId w:val="2"/>
        </w:numPr>
        <w:spacing w:after="60"/>
      </w:pPr>
      <w:r>
        <w:rPr>
          <w:rFonts w:ascii="Consolas" w:cs="Consolas" w:eastAsia="Consolas" w:hAnsi="Consolas"/>
          <w:b/>
          <w:bCs/>
          <w:sz w:val="20"/>
          <w:szCs w:val="20"/>
          <w:shd w:fill="F1F5F9" w:color="auto" w:val="clear"/>
        </w:rPr>
        <w:t xml:space="preserve">activities</w:t>
      </w:r>
      <w:r>
        <w:t xml:space="preserve"> — las actividades semanales de la sede. </w:t>
      </w:r>
      <w:r>
        <w:rPr>
          <w:i/>
          <w:iCs/>
        </w:rPr>
        <w:t xml:space="preserve">Claves:</w:t>
      </w:r>
      <w:r>
        <w:t xml:space="preserve"> índice por año y espacio.
</w:t>
      </w:r>
      <w:r>
        <w:rPr>
          <w:i/>
          <w:iCs/>
        </w:rPr>
        <w:t xml:space="preserve">Relaciones:</w:t>
      </w:r>
      <w:r>
        <w:t xml:space="preserve"> ninguna. </w:t>
      </w:r>
      <w:r>
        <w:rPr>
          <w:i/>
          <w:iCs/>
        </w:rPr>
        <w:t xml:space="preserve">Volumen:</w:t>
      </w:r>
      <w:r>
        <w:t xml:space="preserve"> — Los horarios son texto de hora de pared y </w:t>
      </w:r>
      <w:r>
        <w:rPr>
          <w:b/>
          <w:bCs/>
        </w:rPr>
        <w:t xml:space="preserve">sin
convertir a UTC</w:t>
      </w:r>
      <w:r>
        <w:t xml:space="preserve">: un horario recurrente no es un instante.</w:t>
      </w:r>
    </w:p>
    <w:p>
      <w:pPr>
        <w:pStyle w:val="ListParagraph"/>
        <w:numPr>
          <w:ilvl w:val="0"/>
          <w:numId w:val="2"/>
        </w:numPr>
        <w:spacing w:after="240"/>
      </w:pPr>
      <w:r>
        <w:rPr>
          <w:rFonts w:ascii="Consolas" w:cs="Consolas" w:eastAsia="Consolas" w:hAnsi="Consolas"/>
          <w:b/>
          <w:bCs/>
          <w:sz w:val="20"/>
          <w:szCs w:val="20"/>
          <w:shd w:fill="F1F5F9" w:color="auto" w:val="clear"/>
        </w:rPr>
        <w:t xml:space="preserve">institutional_documents</w:t>
      </w:r>
      <w:r>
        <w:t xml:space="preserve"> — el estatuto, las memorias y los balances que la Comisión
publica a los socios. </w:t>
      </w:r>
      <w:r>
        <w:rPr>
          <w:i/>
          <w:iCs/>
        </w:rPr>
        <w:t xml:space="preserve">Uniques:</w:t>
      </w:r>
      <w:r>
        <w:t xml:space="preserve"> </w:t>
      </w:r>
      <w:r>
        <w:rPr>
          <w:rFonts w:ascii="Consolas" w:cs="Consolas" w:eastAsia="Consolas" w:hAnsi="Consolas"/>
          <w:sz w:val="20"/>
          <w:szCs w:val="20"/>
          <w:shd w:fill="F1F5F9" w:color="auto" w:val="clear"/>
        </w:rPr>
        <w:t xml:space="preserve">year_key</w:t>
      </w:r>
      <w:r>
        <w:t xml:space="preserve">. </w:t>
      </w:r>
      <w:r>
        <w:rPr>
          <w:i/>
          <w:iCs/>
        </w:rPr>
        <w:t xml:space="preserve">Relaciones:</w:t>
      </w:r>
      <w:r>
        <w:t xml:space="preserve"> a quien lo subió. </w:t>
      </w:r>
      <w:r>
        <w:rPr>
          <w:i/>
          <w:iCs/>
        </w:rPr>
        <w:t xml:space="preserve">Volumen:</w:t>
      </w:r>
      <w:r>
        <w:t xml:space="preserve"> —
"Una memoria y un balance por año" lo sostiene la base con una clave materializada que queda
en nulo para los otros tipos, porque los nulos de un unique de MySQL no chocan entre sí.</w:t>
      </w:r>
    </w:p>
    <w:p>
      <w:pPr>
        <w:pStyle w:val="Heading2"/>
      </w:pPr>
      <w:r>
        <w:t xml:space="preserve">Sistema</w:t>
      </w:r>
    </w:p>
    <w:p>
      <w:pPr>
        <w:keepNext/>
        <w:spacing w:after="60" w:before="120"/>
        <w:jc w:val="center"/>
      </w:pPr>
      <w:r>
        <w:drawing>
          <wp:inline distT="0" distB="0" distL="0" distR="0">
            <wp:extent cx="503872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38725" cy="3695700"/>
                    </a:xfrm>
                    <a:prstGeom prst="rect">
                      <a:avLst/>
                    </a:prstGeom>
                  </pic:spPr>
                </pic:pic>
              </a:graphicData>
            </a:graphic>
          </wp:inline>
        </w:drawing>
      </w:r>
    </w:p>
    <w:p>
      <w:pPr>
        <w:spacing w:after="200"/>
        <w:jc w:val="center"/>
      </w:pPr>
      <w:r>
        <w:rPr>
          <w:i/>
          <w:iCs/>
          <w:color w:val="444444"/>
          <w:sz w:val="18"/>
          <w:szCs w:val="18"/>
        </w:rPr>
        <w:t xml:space="preserve">Figura 8 — Las tablas transversales: quién hizo qué, a quién se le avisó y con qué calle.</w:t>
      </w:r>
    </w:p>
    <w:p>
      <w:pPr>
        <w:pStyle w:val="ListParagraph"/>
        <w:numPr>
          <w:ilvl w:val="0"/>
          <w:numId w:val="2"/>
        </w:numPr>
        <w:spacing w:after="60"/>
      </w:pPr>
      <w:r>
        <w:rPr>
          <w:rFonts w:ascii="Consolas" w:cs="Consolas" w:eastAsia="Consolas" w:hAnsi="Consolas"/>
          <w:b/>
          <w:bCs/>
          <w:sz w:val="20"/>
          <w:szCs w:val="20"/>
          <w:shd w:fill="F1F5F9" w:color="auto" w:val="clear"/>
        </w:rPr>
        <w:t xml:space="preserve">configuration</w:t>
      </w:r>
      <w:r>
        <w:t xml:space="preserve"> — las llaves que se editan sin desplegar, con el valor en JSON.
</w:t>
      </w:r>
      <w:r>
        <w:rPr>
          <w:i/>
          <w:iCs/>
        </w:rPr>
        <w:t xml:space="preserve">Claves:</w:t>
      </w:r>
      <w:r>
        <w:t xml:space="preserve"> la llave es la primaria. </w:t>
      </w:r>
      <w:r>
        <w:rPr>
          <w:i/>
          <w:iCs/>
        </w:rPr>
        <w:t xml:space="preserve">Relaciones:</w:t>
      </w:r>
      <w:r>
        <w:t xml:space="preserve"> ninguna. </w:t>
      </w:r>
      <w:r>
        <w:rPr>
          <w:i/>
          <w:iCs/>
        </w:rPr>
        <w:t xml:space="preserve">Volumen:</w:t>
      </w:r>
      <w:r>
        <w:t xml:space="preserve"> una fila por llave.</w:t>
      </w:r>
    </w:p>
    <w:p>
      <w:pPr>
        <w:pStyle w:val="ListParagraph"/>
        <w:numPr>
          <w:ilvl w:val="0"/>
          <w:numId w:val="2"/>
        </w:numPr>
        <w:spacing w:after="60"/>
      </w:pPr>
      <w:r>
        <w:rPr>
          <w:rFonts w:ascii="Consolas" w:cs="Consolas" w:eastAsia="Consolas" w:hAnsi="Consolas"/>
          <w:b/>
          <w:bCs/>
          <w:sz w:val="20"/>
          <w:szCs w:val="20"/>
          <w:shd w:fill="F1F5F9" w:color="auto" w:val="clear"/>
        </w:rPr>
        <w:t xml:space="preserve">audit_log</w:t>
      </w:r>
      <w:r>
        <w:t xml:space="preserve"> — la auditoría de toda acción sensible. </w:t>
      </w:r>
      <w:r>
        <w:rPr>
          <w:i/>
          <w:iCs/>
        </w:rPr>
        <w:t xml:space="preserve">Claves:</w:t>
      </w:r>
      <w:r>
        <w:t xml:space="preserve"> índices por usuario, por
entidad y por acción. </w:t>
      </w:r>
      <w:r>
        <w:rPr>
          <w:i/>
          <w:iCs/>
        </w:rPr>
        <w:t xml:space="preserve">Relaciones:</w:t>
      </w:r>
      <w:r>
        <w:t xml:space="preserve"> al usuario.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action_tokens</w:t>
      </w:r>
      <w:r>
        <w:t xml:space="preserve"> — los enlaces de un solo uso, guardados como hash. </w:t>
      </w:r>
      <w:r>
        <w:rPr>
          <w:i/>
          <w:iCs/>
        </w:rPr>
        <w:t xml:space="preserve">Uniques:</w:t>
      </w:r>
      <w:r>
        <w:t xml:space="preserve">
</w:t>
      </w:r>
      <w:r>
        <w:rPr>
          <w:rFonts w:ascii="Consolas" w:cs="Consolas" w:eastAsia="Consolas" w:hAnsi="Consolas"/>
          <w:sz w:val="20"/>
          <w:szCs w:val="20"/>
          <w:shd w:fill="F1F5F9" w:color="auto" w:val="clear"/>
        </w:rPr>
        <w:t xml:space="preserve">token_hash</w:t>
      </w:r>
      <w:r>
        <w:t xml:space="preserve">. </w:t>
      </w:r>
      <w:r>
        <w:rPr>
          <w:i/>
          <w:iCs/>
        </w:rPr>
        <w:t xml:space="preserve">Relaciones:</w:t>
      </w:r>
      <w:r>
        <w:t xml:space="preserve"> a la ficha, a la solicitud y a la cuenta.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notifications</w:t>
      </w:r>
      <w:r>
        <w:t xml:space="preserve"> — la acreditación de que a alguien se le avisó. </w:t>
      </w:r>
      <w:r>
        <w:rPr>
          <w:i/>
          <w:iCs/>
        </w:rPr>
        <w:t xml:space="preserve">Claves:</w:t>
      </w:r>
      <w:r>
        <w:t xml:space="preserve"> índices por
estado y por tipo y período. </w:t>
      </w:r>
      <w:r>
        <w:rPr>
          <w:i/>
          <w:iCs/>
        </w:rPr>
        <w:t xml:space="preserve">Relaciones:</w:t>
      </w:r>
      <w:r>
        <w:t xml:space="preserve"> a la ficha, a la solicitud, al cartel y al
reporte. </w:t>
      </w:r>
      <w:r>
        <w:rPr>
          <w:i/>
          <w:iCs/>
        </w:rPr>
        <w:t xml:space="preserve">Volumen:</w:t>
      </w:r>
      <w:r>
        <w:t xml:space="preserve"> —</w:t>
      </w:r>
    </w:p>
    <w:p>
      <w:pPr>
        <w:pStyle w:val="ListParagraph"/>
        <w:numPr>
          <w:ilvl w:val="0"/>
          <w:numId w:val="2"/>
        </w:numPr>
        <w:spacing w:after="60"/>
      </w:pPr>
      <w:r>
        <w:rPr>
          <w:rFonts w:ascii="Consolas" w:cs="Consolas" w:eastAsia="Consolas" w:hAnsi="Consolas"/>
          <w:b/>
          <w:bCs/>
          <w:sz w:val="20"/>
          <w:szCs w:val="20"/>
          <w:shd w:fill="F1F5F9" w:color="auto" w:val="clear"/>
        </w:rPr>
        <w:t xml:space="preserve">cron_runs</w:t>
      </w:r>
      <w:r>
        <w:t xml:space="preserve"> — la última corrida de cada tarea programada. </w:t>
      </w:r>
      <w:r>
        <w:rPr>
          <w:i/>
          <w:iCs/>
        </w:rPr>
        <w:t xml:space="preserve">Claves:</w:t>
      </w:r>
      <w:r>
        <w:t xml:space="preserve"> índice por tarea y
comienzo. </w:t>
      </w:r>
      <w:r>
        <w:rPr>
          <w:i/>
          <w:iCs/>
        </w:rPr>
        <w:t xml:space="preserve">Relaciones:</w:t>
      </w:r>
      <w:r>
        <w:t xml:space="preserve"> ninguna. </w:t>
      </w:r>
      <w:r>
        <w:rPr>
          <w:i/>
          <w:iCs/>
        </w:rPr>
        <w:t xml:space="preserve">Volumen:</w:t>
      </w:r>
      <w:r>
        <w:t xml:space="preserve"> una fila por corrida efectiva de los cinco
crons.</w:t>
      </w:r>
    </w:p>
    <w:p>
      <w:pPr>
        <w:pStyle w:val="ListParagraph"/>
        <w:numPr>
          <w:ilvl w:val="0"/>
          <w:numId w:val="2"/>
        </w:numPr>
        <w:spacing w:after="240"/>
      </w:pPr>
      <w:r>
        <w:rPr>
          <w:rFonts w:ascii="Consolas" w:cs="Consolas" w:eastAsia="Consolas" w:hAnsi="Consolas"/>
          <w:b/>
          <w:bCs/>
          <w:sz w:val="20"/>
          <w:szCs w:val="20"/>
          <w:shd w:fill="F1F5F9" w:color="auto" w:val="clear"/>
        </w:rPr>
        <w:t xml:space="preserve">streets</w:t>
      </w:r>
      <w:r>
        <w:t xml:space="preserve"> — las calles catastrales del barrio. </w:t>
      </w:r>
      <w:r>
        <w:rPr>
          <w:i/>
          <w:iCs/>
        </w:rPr>
        <w:t xml:space="preserve">Claves:</w:t>
      </w:r>
      <w:r>
        <w:t xml:space="preserve"> índices por nombre normalizado
y por orden de carga. </w:t>
      </w:r>
      <w:r>
        <w:rPr>
          <w:i/>
          <w:iCs/>
        </w:rPr>
        <w:t xml:space="preserve">Relaciones:</w:t>
      </w:r>
      <w:r>
        <w:t xml:space="preserve"> la referencian cuatro tablas. </w:t>
      </w:r>
      <w:r>
        <w:rPr>
          <w:i/>
          <w:iCs/>
        </w:rPr>
        <w:t xml:space="preserve">Volumen:</w:t>
      </w:r>
      <w:r>
        <w:t xml:space="preserve"> 40 filas.</w:t>
      </w:r>
    </w:p>
    <w:p>
      <w:pPr>
        <w:spacing w:after="120"/>
      </w:pPr>
      <w:r>
        <w:t xml:space="preserve">Una notificación fallida registra un intento, </w:t>
      </w:r>
      <w:r>
        <w:rPr>
          <w:b/>
          <w:bCs/>
        </w:rPr>
        <w:t xml:space="preserve">no</w:t>
      </w:r>
      <w:r>
        <w:t xml:space="preserve"> una acreditación: el correo no salió, y
su columna de error guarda el código del fallo y nunca la dirección, por la Ley 25.326. Los
identificadores de las calles no son autoincrementales: son los del municipio.</w:t>
      </w:r>
    </w:p>
    <w:p>
      <w:pPr>
        <w:pStyle w:val="Heading1"/>
        <w:pageBreakBefore/>
      </w:pPr>
      <w:r>
        <w:t xml:space="preserve">3. Los enums y las invariantes</w:t>
      </w:r>
    </w:p>
    <w:p>
      <w:pPr>
        <w:pStyle w:val="Heading2"/>
      </w:pPr>
      <w:r>
        <w:t xml:space="preserve">Los siete enums que hacen falta</w:t>
      </w:r>
    </w:p>
    <w:p>
      <w:pPr>
        <w:spacing w:after="120"/>
      </w:pPr>
      <w:r>
        <w:t xml:space="preserve">De los 34, éstos alcanzan para leer una consulta sin adivinar.</w:t>
      </w:r>
    </w:p>
    <w:p>
      <w:pPr>
        <w:pStyle w:val="ListParagraph"/>
        <w:numPr>
          <w:ilvl w:val="0"/>
          <w:numId w:val="2"/>
        </w:numPr>
        <w:spacing w:after="60"/>
      </w:pPr>
      <w:r>
        <w:rPr>
          <w:rFonts w:ascii="Consolas" w:cs="Consolas" w:eastAsia="Consolas" w:hAnsi="Consolas"/>
          <w:b/>
          <w:bCs/>
          <w:sz w:val="20"/>
          <w:szCs w:val="20"/>
          <w:shd w:fill="F1F5F9" w:color="auto" w:val="clear"/>
        </w:rPr>
        <w:t xml:space="preserve">MemberStatus</w:t>
      </w:r>
      <w:r>
        <w:t xml:space="preserve"> — </w:t>
      </w:r>
      <w:r>
        <w:rPr>
          <w:rFonts w:ascii="Consolas" w:cs="Consolas" w:eastAsia="Consolas" w:hAnsi="Consolas"/>
          <w:sz w:val="20"/>
          <w:szCs w:val="20"/>
          <w:shd w:fill="F1F5F9" w:color="auto" w:val="clear"/>
        </w:rPr>
        <w:t xml:space="preserve">active</w:t>
      </w:r>
      <w:r>
        <w:t xml:space="preserve">, </w:t>
      </w:r>
      <w:r>
        <w:rPr>
          <w:rFonts w:ascii="Consolas" w:cs="Consolas" w:eastAsia="Consolas" w:hAnsi="Consolas"/>
          <w:sz w:val="20"/>
          <w:szCs w:val="20"/>
          <w:shd w:fill="F1F5F9" w:color="auto" w:val="clear"/>
        </w:rPr>
        <w:t xml:space="preserve">suspended</w:t>
      </w:r>
      <w:r>
        <w:t xml:space="preserve">, </w:t>
      </w:r>
      <w:r>
        <w:rPr>
          <w:rFonts w:ascii="Consolas" w:cs="Consolas" w:eastAsia="Consolas" w:hAnsi="Consolas"/>
          <w:sz w:val="20"/>
          <w:szCs w:val="20"/>
          <w:shd w:fill="F1F5F9" w:color="auto" w:val="clear"/>
        </w:rPr>
        <w:t xml:space="preserve">withdrawn</w:t>
      </w:r>
      <w:r>
        <w:t xml:space="preserve">; "vigente" son los dos primeros.</w:t>
      </w:r>
    </w:p>
    <w:p>
      <w:pPr>
        <w:pStyle w:val="ListParagraph"/>
        <w:numPr>
          <w:ilvl w:val="0"/>
          <w:numId w:val="2"/>
        </w:numPr>
        <w:spacing w:after="60"/>
      </w:pPr>
      <w:r>
        <w:rPr>
          <w:rFonts w:ascii="Consolas" w:cs="Consolas" w:eastAsia="Consolas" w:hAnsi="Consolas"/>
          <w:b/>
          <w:bCs/>
          <w:sz w:val="20"/>
          <w:szCs w:val="20"/>
          <w:shd w:fill="F1F5F9" w:color="auto" w:val="clear"/>
        </w:rPr>
        <w:t xml:space="preserve">MemberCategory</w:t>
      </w:r>
      <w:r>
        <w:t xml:space="preserve"> — </w:t>
      </w:r>
      <w:r>
        <w:rPr>
          <w:rFonts w:ascii="Consolas" w:cs="Consolas" w:eastAsia="Consolas" w:hAnsi="Consolas"/>
          <w:sz w:val="20"/>
          <w:szCs w:val="20"/>
          <w:shd w:fill="F1F5F9" w:color="auto" w:val="clear"/>
        </w:rPr>
        <w:t xml:space="preserve">active</w:t>
      </w:r>
      <w:r>
        <w:t xml:space="preserve">, </w:t>
      </w:r>
      <w:r>
        <w:rPr>
          <w:rFonts w:ascii="Consolas" w:cs="Consolas" w:eastAsia="Consolas" w:hAnsi="Consolas"/>
          <w:sz w:val="20"/>
          <w:szCs w:val="20"/>
          <w:shd w:fill="F1F5F9" w:color="auto" w:val="clear"/>
        </w:rPr>
        <w:t xml:space="preserve">adherent</w:t>
      </w:r>
      <w:r>
        <w:t xml:space="preserve">, </w:t>
      </w:r>
      <w:r>
        <w:rPr>
          <w:rFonts w:ascii="Consolas" w:cs="Consolas" w:eastAsia="Consolas" w:hAnsi="Consolas"/>
          <w:sz w:val="20"/>
          <w:szCs w:val="20"/>
          <w:shd w:fill="F1F5F9" w:color="auto" w:val="clear"/>
        </w:rPr>
        <w:t xml:space="preserve">collaborator</w:t>
      </w:r>
      <w:r>
        <w:t xml:space="preserve">, </w:t>
      </w:r>
      <w:r>
        <w:rPr>
          <w:rFonts w:ascii="Consolas" w:cs="Consolas" w:eastAsia="Consolas" w:hAnsi="Consolas"/>
          <w:sz w:val="20"/>
          <w:szCs w:val="20"/>
          <w:shd w:fill="F1F5F9" w:color="auto" w:val="clear"/>
        </w:rPr>
        <w:t xml:space="preserve">cadet</w:t>
      </w:r>
      <w:r>
        <w:t xml:space="preserve">, </w:t>
      </w:r>
      <w:r>
        <w:rPr>
          <w:rFonts w:ascii="Consolas" w:cs="Consolas" w:eastAsia="Consolas" w:hAnsi="Consolas"/>
          <w:sz w:val="20"/>
          <w:szCs w:val="20"/>
          <w:shd w:fill="F1F5F9" w:color="auto" w:val="clear"/>
        </w:rPr>
        <w:t xml:space="preserve">honorary</w:t>
      </w:r>
      <w:r>
        <w:t xml:space="preserve">,
</w:t>
      </w:r>
      <w:r>
        <w:rPr>
          <w:rFonts w:ascii="Consolas" w:cs="Consolas" w:eastAsia="Consolas" w:hAnsi="Consolas"/>
          <w:sz w:val="20"/>
          <w:szCs w:val="20"/>
          <w:shd w:fill="F1F5F9" w:color="auto" w:val="clear"/>
        </w:rPr>
        <w:t xml:space="preserve">lifetime</w:t>
      </w:r>
      <w:r>
        <w:t xml:space="preserve">: las seis del estatuto, y por la web llegan sólo las tres primeras.</w:t>
      </w:r>
    </w:p>
    <w:p>
      <w:pPr>
        <w:pStyle w:val="ListParagraph"/>
        <w:numPr>
          <w:ilvl w:val="0"/>
          <w:numId w:val="2"/>
        </w:numPr>
        <w:spacing w:after="60"/>
      </w:pPr>
      <w:r>
        <w:rPr>
          <w:rFonts w:ascii="Consolas" w:cs="Consolas" w:eastAsia="Consolas" w:hAnsi="Consolas"/>
          <w:b/>
          <w:bCs/>
          <w:sz w:val="20"/>
          <w:szCs w:val="20"/>
          <w:shd w:fill="F1F5F9" w:color="auto" w:val="clear"/>
        </w:rPr>
        <w:t xml:space="preserve">FeeStatus</w:t>
      </w:r>
      <w:r>
        <w:t xml:space="preserve"> — </w:t>
      </w:r>
      <w:r>
        <w:rPr>
          <w:rFonts w:ascii="Consolas" w:cs="Consolas" w:eastAsia="Consolas" w:hAnsi="Consolas"/>
          <w:sz w:val="20"/>
          <w:szCs w:val="20"/>
          <w:shd w:fill="F1F5F9" w:color="auto" w:val="clear"/>
        </w:rPr>
        <w:t xml:space="preserve">pending</w:t>
      </w:r>
      <w:r>
        <w:t xml:space="preserve">, </w:t>
      </w:r>
      <w:r>
        <w:rPr>
          <w:rFonts w:ascii="Consolas" w:cs="Consolas" w:eastAsia="Consolas" w:hAnsi="Consolas"/>
          <w:sz w:val="20"/>
          <w:szCs w:val="20"/>
          <w:shd w:fill="F1F5F9" w:color="auto" w:val="clear"/>
        </w:rPr>
        <w:t xml:space="preserve">paid</w:t>
      </w:r>
      <w:r>
        <w:t xml:space="preserve">, </w:t>
      </w:r>
      <w:r>
        <w:rPr>
          <w:rFonts w:ascii="Consolas" w:cs="Consolas" w:eastAsia="Consolas" w:hAnsi="Consolas"/>
          <w:sz w:val="20"/>
          <w:szCs w:val="20"/>
          <w:shd w:fill="F1F5F9" w:color="auto" w:val="clear"/>
        </w:rPr>
        <w:t xml:space="preserve">exempt</w:t>
      </w:r>
      <w:r>
        <w:t xml:space="preserve">, </w:t>
      </w:r>
      <w:r>
        <w:rPr>
          <w:rFonts w:ascii="Consolas" w:cs="Consolas" w:eastAsia="Consolas" w:hAnsi="Consolas"/>
          <w:sz w:val="20"/>
          <w:szCs w:val="20"/>
          <w:shd w:fill="F1F5F9" w:color="auto" w:val="clear"/>
        </w:rPr>
        <w:t xml:space="preserve">voided</w:t>
      </w:r>
      <w:r>
        <w:t xml:space="preserve">; la deuda pregunta por el primero a
secas y el cuarto </w:t>
      </w:r>
      <w:r>
        <w:rPr>
          <w:b/>
          <w:bCs/>
        </w:rPr>
        <w:t xml:space="preserve">no lo escribe nadie</w:t>
      </w:r>
      <w:r>
        <w:t xml:space="preserve">.</w:t>
      </w:r>
    </w:p>
    <w:p>
      <w:pPr>
        <w:pStyle w:val="ListParagraph"/>
        <w:numPr>
          <w:ilvl w:val="0"/>
          <w:numId w:val="2"/>
        </w:numPr>
        <w:spacing w:after="60"/>
      </w:pPr>
      <w:r>
        <w:rPr>
          <w:rFonts w:ascii="Consolas" w:cs="Consolas" w:eastAsia="Consolas" w:hAnsi="Consolas"/>
          <w:b/>
          <w:bCs/>
          <w:sz w:val="20"/>
          <w:szCs w:val="20"/>
          <w:shd w:fill="F1F5F9" w:color="auto" w:val="clear"/>
        </w:rPr>
        <w:t xml:space="preserve">PaymentStatus</w:t>
      </w:r>
      <w:r>
        <w:t xml:space="preserve"> — </w:t>
      </w:r>
      <w:r>
        <w:rPr>
          <w:rFonts w:ascii="Consolas" w:cs="Consolas" w:eastAsia="Consolas" w:hAnsi="Consolas"/>
          <w:sz w:val="20"/>
          <w:szCs w:val="20"/>
          <w:shd w:fill="F1F5F9" w:color="auto" w:val="clear"/>
        </w:rPr>
        <w:t xml:space="preserve">applied</w:t>
      </w:r>
      <w:r>
        <w:t xml:space="preserve">, </w:t>
      </w:r>
      <w:r>
        <w:rPr>
          <w:rFonts w:ascii="Consolas" w:cs="Consolas" w:eastAsia="Consolas" w:hAnsi="Consolas"/>
          <w:sz w:val="20"/>
          <w:szCs w:val="20"/>
          <w:shd w:fill="F1F5F9" w:color="auto" w:val="clear"/>
        </w:rPr>
        <w:t xml:space="preserve">refunded</w:t>
      </w:r>
      <w:r>
        <w:t xml:space="preserve">, </w:t>
      </w:r>
      <w:r>
        <w:rPr>
          <w:rFonts w:ascii="Consolas" w:cs="Consolas" w:eastAsia="Consolas" w:hAnsi="Consolas"/>
          <w:sz w:val="20"/>
          <w:szCs w:val="20"/>
          <w:shd w:fill="F1F5F9" w:color="auto" w:val="clear"/>
        </w:rPr>
        <w:t xml:space="preserve">voided</w:t>
      </w:r>
      <w:r>
        <w:t xml:space="preserve">.</w:t>
      </w:r>
    </w:p>
    <w:p>
      <w:pPr>
        <w:pStyle w:val="ListParagraph"/>
        <w:numPr>
          <w:ilvl w:val="0"/>
          <w:numId w:val="2"/>
        </w:numPr>
        <w:spacing w:after="60"/>
      </w:pPr>
      <w:r>
        <w:rPr>
          <w:rFonts w:ascii="Consolas" w:cs="Consolas" w:eastAsia="Consolas" w:hAnsi="Consolas"/>
          <w:b/>
          <w:bCs/>
          <w:sz w:val="20"/>
          <w:szCs w:val="20"/>
          <w:shd w:fill="F1F5F9" w:color="auto" w:val="clear"/>
        </w:rPr>
        <w:t xml:space="preserve">ApplicationStatus</w:t>
      </w:r>
      <w:r>
        <w:t xml:space="preserve"> — la máquina del alta web, en orden: </w:t>
      </w:r>
      <w:r>
        <w:rPr>
          <w:rFonts w:ascii="Consolas" w:cs="Consolas" w:eastAsia="Consolas" w:hAnsi="Consolas"/>
          <w:sz w:val="20"/>
          <w:szCs w:val="20"/>
          <w:shd w:fill="F1F5F9" w:color="auto" w:val="clear"/>
        </w:rPr>
        <w:t xml:space="preserve">started</w:t>
      </w:r>
      <w:r>
        <w:t xml:space="preserve">, </w:t>
      </w:r>
      <w:r>
        <w:rPr>
          <w:rFonts w:ascii="Consolas" w:cs="Consolas" w:eastAsia="Consolas" w:hAnsi="Consolas"/>
          <w:sz w:val="20"/>
          <w:szCs w:val="20"/>
          <w:shd w:fill="F1F5F9" w:color="auto" w:val="clear"/>
        </w:rPr>
        <w:t xml:space="preserve">pending_payment</w:t>
      </w:r>
      <w:r>
        <w:t xml:space="preserve">,
</w:t>
      </w:r>
      <w:r>
        <w:rPr>
          <w:rFonts w:ascii="Consolas" w:cs="Consolas" w:eastAsia="Consolas" w:hAnsi="Consolas"/>
          <w:sz w:val="20"/>
          <w:szCs w:val="20"/>
          <w:shd w:fill="F1F5F9" w:color="auto" w:val="clear"/>
        </w:rPr>
        <w:t xml:space="preserve">approved_pending_minute</w:t>
      </w:r>
      <w:r>
        <w:t xml:space="preserve">, </w:t>
      </w:r>
      <w:r>
        <w:rPr>
          <w:rFonts w:ascii="Consolas" w:cs="Consolas" w:eastAsia="Consolas" w:hAnsi="Consolas"/>
          <w:sz w:val="20"/>
          <w:szCs w:val="20"/>
          <w:shd w:fill="F1F5F9" w:color="auto" w:val="clear"/>
        </w:rPr>
        <w:t xml:space="preserve">pending_board</w:t>
      </w:r>
      <w:r>
        <w:t xml:space="preserve">, </w:t>
      </w:r>
      <w:r>
        <w:rPr>
          <w:rFonts w:ascii="Consolas" w:cs="Consolas" w:eastAsia="Consolas" w:hAnsi="Consolas"/>
          <w:sz w:val="20"/>
          <w:szCs w:val="20"/>
          <w:shd w:fill="F1F5F9" w:color="auto" w:val="clear"/>
        </w:rPr>
        <w:t xml:space="preserve">completed</w:t>
      </w:r>
      <w:r>
        <w:t xml:space="preserve">, </w:t>
      </w:r>
      <w:r>
        <w:rPr>
          <w:rFonts w:ascii="Consolas" w:cs="Consolas" w:eastAsia="Consolas" w:hAnsi="Consolas"/>
          <w:sz w:val="20"/>
          <w:szCs w:val="20"/>
          <w:shd w:fill="F1F5F9" w:color="auto" w:val="clear"/>
        </w:rPr>
        <w:t xml:space="preserve">rejected</w:t>
      </w:r>
      <w:r>
        <w:t xml:space="preserve">, </w:t>
      </w:r>
      <w:r>
        <w:rPr>
          <w:rFonts w:ascii="Consolas" w:cs="Consolas" w:eastAsia="Consolas" w:hAnsi="Consolas"/>
          <w:sz w:val="20"/>
          <w:szCs w:val="20"/>
          <w:shd w:fill="F1F5F9" w:color="auto" w:val="clear"/>
        </w:rPr>
        <w:t xml:space="preserve">expired</w:t>
      </w:r>
      <w:r>
        <w:t xml:space="preserve">.</w:t>
      </w:r>
    </w:p>
    <w:p>
      <w:pPr>
        <w:pStyle w:val="ListParagraph"/>
        <w:numPr>
          <w:ilvl w:val="0"/>
          <w:numId w:val="2"/>
        </w:numPr>
        <w:spacing w:after="60"/>
      </w:pPr>
      <w:r>
        <w:rPr>
          <w:rFonts w:ascii="Consolas" w:cs="Consolas" w:eastAsia="Consolas" w:hAnsi="Consolas"/>
          <w:b/>
          <w:bCs/>
          <w:sz w:val="20"/>
          <w:szCs w:val="20"/>
          <w:shd w:fill="F1F5F9" w:color="auto" w:val="clear"/>
        </w:rPr>
        <w:t xml:space="preserve">PresentationStatus</w:t>
      </w:r>
      <w:r>
        <w:t xml:space="preserve"> — </w:t>
      </w:r>
      <w:r>
        <w:rPr>
          <w:rFonts w:ascii="Consolas" w:cs="Consolas" w:eastAsia="Consolas" w:hAnsi="Consolas"/>
          <w:sz w:val="20"/>
          <w:szCs w:val="20"/>
          <w:shd w:fill="F1F5F9" w:color="auto" w:val="clear"/>
        </w:rPr>
        <w:t xml:space="preserve">pending</w:t>
      </w:r>
      <w:r>
        <w:t xml:space="preserve"> (lo escribe la convocatoria, no el vecino),
</w:t>
      </w:r>
      <w:r>
        <w:rPr>
          <w:rFonts w:ascii="Consolas" w:cs="Consolas" w:eastAsia="Consolas" w:hAnsi="Consolas"/>
          <w:sz w:val="20"/>
          <w:szCs w:val="20"/>
          <w:shd w:fill="F1F5F9" w:color="auto" w:val="clear"/>
        </w:rPr>
        <w:t xml:space="preserve">submitted</w:t>
      </w:r>
      <w:r>
        <w:t xml:space="preserve">, </w:t>
      </w:r>
      <w:r>
        <w:rPr>
          <w:rFonts w:ascii="Consolas" w:cs="Consolas" w:eastAsia="Consolas" w:hAnsi="Consolas"/>
          <w:sz w:val="20"/>
          <w:szCs w:val="20"/>
          <w:shd w:fill="F1F5F9" w:color="auto" w:val="clear"/>
        </w:rPr>
        <w:t xml:space="preserve">observed</w:t>
      </w:r>
      <w:r>
        <w:t xml:space="preserve">, </w:t>
      </w:r>
      <w:r>
        <w:rPr>
          <w:rFonts w:ascii="Consolas" w:cs="Consolas" w:eastAsia="Consolas" w:hAnsi="Consolas"/>
          <w:sz w:val="20"/>
          <w:szCs w:val="20"/>
          <w:shd w:fill="F1F5F9" w:color="auto" w:val="clear"/>
        </w:rPr>
        <w:t xml:space="preserve">validated</w:t>
      </w:r>
      <w:r>
        <w:t xml:space="preserve">, </w:t>
      </w:r>
      <w:r>
        <w:rPr>
          <w:rFonts w:ascii="Consolas" w:cs="Consolas" w:eastAsia="Consolas" w:hAnsi="Consolas"/>
          <w:sz w:val="20"/>
          <w:szCs w:val="20"/>
          <w:shd w:fill="F1F5F9" w:color="auto" w:val="clear"/>
        </w:rPr>
        <w:t xml:space="preserve">rejected</w:t>
      </w:r>
      <w:r>
        <w:t xml:space="preserve">, </w:t>
      </w:r>
      <w:r>
        <w:rPr>
          <w:rFonts w:ascii="Consolas" w:cs="Consolas" w:eastAsia="Consolas" w:hAnsi="Consolas"/>
          <w:sz w:val="20"/>
          <w:szCs w:val="20"/>
          <w:shd w:fill="F1F5F9" w:color="auto" w:val="clear"/>
        </w:rPr>
        <w:t xml:space="preserve">withdrawn</w:t>
      </w:r>
      <w:r>
        <w:t xml:space="preserve">.</w:t>
      </w:r>
    </w:p>
    <w:p>
      <w:pPr>
        <w:pStyle w:val="ListParagraph"/>
        <w:numPr>
          <w:ilvl w:val="0"/>
          <w:numId w:val="2"/>
        </w:numPr>
        <w:spacing w:after="240"/>
      </w:pPr>
      <w:r>
        <w:rPr>
          <w:rFonts w:ascii="Consolas" w:cs="Consolas" w:eastAsia="Consolas" w:hAnsi="Consolas"/>
          <w:b/>
          <w:bCs/>
          <w:sz w:val="20"/>
          <w:szCs w:val="20"/>
          <w:shd w:fill="F1F5F9" w:color="auto" w:val="clear"/>
        </w:rPr>
        <w:t xml:space="preserve">ReportStatus</w:t>
      </w:r>
      <w:r>
        <w:t xml:space="preserve"> — </w:t>
      </w:r>
      <w:r>
        <w:rPr>
          <w:rFonts w:ascii="Consolas" w:cs="Consolas" w:eastAsia="Consolas" w:hAnsi="Consolas"/>
          <w:sz w:val="20"/>
          <w:szCs w:val="20"/>
          <w:shd w:fill="F1F5F9" w:color="auto" w:val="clear"/>
        </w:rPr>
        <w:t xml:space="preserve">draft</w:t>
      </w:r>
      <w:r>
        <w:t xml:space="preserve"> y </w:t>
      </w:r>
      <w:r>
        <w:rPr>
          <w:rFonts w:ascii="Consolas" w:cs="Consolas" w:eastAsia="Consolas" w:hAnsi="Consolas"/>
          <w:sz w:val="20"/>
          <w:szCs w:val="20"/>
          <w:shd w:fill="F1F5F9" w:color="auto" w:val="clear"/>
        </w:rPr>
        <w:t xml:space="preserve">received</w:t>
      </w:r>
      <w:r>
        <w:t xml:space="preserve"> los escribe el formulario público; </w:t>
      </w:r>
      <w:r>
        <w:rPr>
          <w:rFonts w:ascii="Consolas" w:cs="Consolas" w:eastAsia="Consolas" w:hAnsi="Consolas"/>
          <w:sz w:val="20"/>
          <w:szCs w:val="20"/>
          <w:shd w:fill="F1F5F9" w:color="auto" w:val="clear"/>
        </w:rPr>
        <w:t xml:space="preserve">filed</w:t>
      </w:r>
      <w:r>
        <w:t xml:space="preserve"> y
</w:t>
      </w:r>
      <w:r>
        <w:rPr>
          <w:rFonts w:ascii="Consolas" w:cs="Consolas" w:eastAsia="Consolas" w:hAnsi="Consolas"/>
          <w:sz w:val="20"/>
          <w:szCs w:val="20"/>
          <w:shd w:fill="F1F5F9" w:color="auto" w:val="clear"/>
        </w:rPr>
        <w:t xml:space="preserve">dismissed</w:t>
      </w:r>
      <w:r>
        <w:t xml:space="preserve">, la bandeja del panel.</w:t>
      </w:r>
    </w:p>
    <w:p>
      <w:pPr>
        <w:spacing w:after="120"/>
      </w:pPr>
      <w:r>
        <w:rPr>
          <w:b/>
          <w:bCs/>
        </w:rPr>
        <w:t xml:space="preserve">Seis valores no los escribe nadie</w:t>
      </w:r>
      <w:r>
        <w:t xml:space="preserve"> —el cuarto estado de cuota, el origen </w:t>
      </w:r>
      <w:r>
        <w:rPr>
          <w:rFonts w:ascii="Consolas" w:cs="Consolas" w:eastAsia="Consolas" w:hAnsi="Consolas"/>
          <w:sz w:val="20"/>
          <w:szCs w:val="20"/>
          <w:shd w:fill="F1F5F9" w:color="auto" w:val="clear"/>
        </w:rPr>
        <w:t xml:space="preserve">brevo</w:t>
      </w:r>
      <w:r>
        <w:t xml:space="preserve"> de los
avisos entrantes y, con él, el rebote de correo y tres estados de notificación—, así que una
consulta que los busque devuelve cero. Y </w:t>
      </w:r>
      <w:r>
        <w:rPr>
          <w:b/>
          <w:bCs/>
        </w:rPr>
        <w:t xml:space="preserve">el orden es parte del contrato</w:t>
      </w:r>
      <w:r>
        <w:t xml:space="preserve">: un enum de MySQL
se guarda como índice, así que intercalar un valor le corre el significado a cada fila ya
escrita.</w:t>
      </w:r>
    </w:p>
    <w:p>
      <w:pPr>
        <w:pStyle w:val="Heading2"/>
      </w:pPr>
      <w:r>
        <w:t xml:space="preserve">Lo que la base no sostiene</w:t>
      </w:r>
    </w:p>
    <w:p>
      <w:pPr>
        <w:spacing w:after="120"/>
      </w:pPr>
      <w:r>
        <w:t xml:space="preserve">MySQL no tiene índices únicos </w:t>
      </w:r>
      <w:r>
        <w:rPr>
          <w:b/>
          <w:bCs/>
        </w:rPr>
        <w:t xml:space="preserve">parciales</w:t>
      </w:r>
      <w:r>
        <w:t xml:space="preserve">: todas éstas tienen la forma "a lo sumo uno
vigente" y se sostienen dentro de la transacción que las puede romper (detalle en T4 §5).</w:t>
      </w:r>
    </w:p>
    <w:p>
      <w:pPr>
        <w:pStyle w:val="ListParagraph"/>
        <w:numPr>
          <w:ilvl w:val="0"/>
          <w:numId w:val="3"/>
        </w:numPr>
        <w:spacing w:after="60"/>
      </w:pPr>
      <w:r>
        <w:t xml:space="preserve">Una solicitud de alta viva por documento de identidad.</w:t>
      </w:r>
    </w:p>
    <w:p>
      <w:pPr>
        <w:pStyle w:val="ListParagraph"/>
        <w:numPr>
          <w:ilvl w:val="0"/>
          <w:numId w:val="3"/>
        </w:numPr>
        <w:spacing w:after="60"/>
      </w:pPr>
      <w:r>
        <w:t xml:space="preserve">Un pedido pendiente por tipo y por socio, con un cerrojo que envuelve la transacción.</w:t>
      </w:r>
    </w:p>
    <w:p>
      <w:pPr>
        <w:pStyle w:val="ListParagraph"/>
        <w:numPr>
          <w:ilvl w:val="0"/>
          <w:numId w:val="3"/>
        </w:numPr>
        <w:spacing w:after="60"/>
      </w:pPr>
      <w:r>
        <w:t xml:space="preserve">Una exención de cuota vigente por socio.</w:t>
      </w:r>
    </w:p>
    <w:p>
      <w:pPr>
        <w:pStyle w:val="ListParagraph"/>
        <w:numPr>
          <w:ilvl w:val="0"/>
          <w:numId w:val="3"/>
        </w:numPr>
        <w:spacing w:after="60"/>
      </w:pPr>
      <w:r>
        <w:t xml:space="preserve">Un documento institucional destacado a lo sumo.</w:t>
      </w:r>
    </w:p>
    <w:p>
      <w:pPr>
        <w:pStyle w:val="ListParagraph"/>
        <w:numPr>
          <w:ilvl w:val="0"/>
          <w:numId w:val="3"/>
        </w:numPr>
        <w:spacing w:after="60"/>
      </w:pPr>
      <w:r>
        <w:t xml:space="preserve">Un cobro lleva el identificador de Mercado Pago o el del reparto, nunca los dos.</w:t>
      </w:r>
    </w:p>
    <w:p>
      <w:pPr>
        <w:pStyle w:val="ListParagraph"/>
        <w:numPr>
          <w:ilvl w:val="0"/>
          <w:numId w:val="3"/>
        </w:numPr>
        <w:spacing w:after="240"/>
      </w:pPr>
      <w:r>
        <w:t xml:space="preserve">Cada fila de </w:t>
      </w:r>
      <w:r>
        <w:rPr>
          <w:rFonts w:ascii="Consolas" w:cs="Consolas" w:eastAsia="Consolas" w:hAnsi="Consolas"/>
          <w:sz w:val="20"/>
          <w:szCs w:val="20"/>
          <w:shd w:fill="F1F5F9" w:color="auto" w:val="clear"/>
        </w:rPr>
        <w:t xml:space="preserve">documents</w:t>
      </w:r>
      <w:r>
        <w:t xml:space="preserve"> apunta a un dueño que existe.</w:t>
      </w:r>
    </w:p>
    <w:p>
      <w:pPr>
        <w:spacing w:after="120"/>
      </w:pPr>
      <w:r>
        <w:t xml:space="preserve">Los cerrojos viven </w:t>
      </w:r>
      <w:r>
        <w:rPr>
          <w:b/>
          <w:bCs/>
        </w:rPr>
        <w:t xml:space="preserve">en memoria</w:t>
      </w:r>
      <w:r>
        <w:t xml:space="preserve">: todo esto asume un solo proceso, y subir las instancias del
gestor rompería la segunda en silencio.</w:t>
      </w:r>
    </w:p>
    <w:p>
      <w:pPr>
        <w:pStyle w:val="Heading2"/>
      </w:pPr>
      <w:r>
        <w:t xml:space="preserve">Documentos relacionados</w:t>
      </w:r>
    </w:p>
    <w:p>
      <w:pPr>
        <w:spacing w:after="120"/>
      </w:pPr>
      <w:r>
        <w:t xml:space="preserve">De esta serie, </w:t>
      </w:r>
      <w:r>
        <w:rPr>
          <w:b/>
          <w:bCs/>
        </w:rPr>
        <w:t xml:space="preserve">R2</w:t>
      </w:r>
      <w:r>
        <w:t xml:space="preserve">: cómo está armado el código. De la técnica: </w:t>
      </w:r>
      <w:r>
        <w:rPr>
          <w:b/>
          <w:bCs/>
        </w:rPr>
        <w:t xml:space="preserve">T4 — Modelo de datos</w:t>
      </w:r>
      <w:r>
        <w:t xml:space="preserve"> (la
versión larga de éste), </w:t>
      </w:r>
      <w:r>
        <w:rPr>
          <w:b/>
          <w:bCs/>
        </w:rPr>
        <w:t xml:space="preserve">T5 — Tesorería y Mercado Pago</w:t>
      </w:r>
      <w:r>
        <w:t xml:space="preserve">, </w:t>
      </w:r>
      <w:r>
        <w:rPr>
          <w:b/>
          <w:bCs/>
        </w:rPr>
        <w:t xml:space="preserve">T6 — Módulos de dominio</w:t>
      </w:r>
      <w:r>
        <w:t xml:space="preserve"> y
</w:t>
      </w:r>
      <w:r>
        <w:rPr>
          <w:b/>
          <w:bCs/>
        </w:rPr>
        <w:t xml:space="preserve">T3 — Instalación, despliegue y operación</w:t>
      </w:r>
      <w:r>
        <w:t xml:space="preserve">.</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SIGeV — v1.0 — 12/09/2026 — 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072"/>
      </w:tabs>
    </w:pPr>
    <w:r>
      <w:rPr>
        <w:color w:val="666666"/>
        <w:sz w:val="18"/>
        <w:szCs w:val="18"/>
      </w:rPr>
      <w:t xml:space="preserve">Tablas del sistema	SIGeV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9BC" w:sz="8" w:space="4"/>
      </w:pBdr>
      <w:spacing w:after="240" w:before="0"/>
      <w:outlineLvl w:val="0"/>
    </w:pPr>
    <w:rPr>
      <w:rFonts w:ascii="Calibri" w:cs="Calibri" w:eastAsia="Calibri" w:hAnsi="Calibri"/>
      <w:b/>
      <w:bCs/>
      <w:color w:val="0079B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79BC"/>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0079BC"/>
      <w:sz w:val="24"/>
      <w:szCs w:val="24"/>
    </w:rPr>
  </w:style>
  <w:style w:type="paragraph" w:styleId="Heading4">
    <w:name w:val="Heading 4"/>
    <w:basedOn w:val="Normal"/>
    <w:next w:val="Normal"/>
    <w:qFormat/>
    <w:pPr>
      <w:spacing w:after="120" w:before="280"/>
      <w:outlineLvl w:val="3"/>
    </w:pPr>
    <w:rPr>
      <w:rFonts w:ascii="Calibri" w:cs="Calibri" w:eastAsia="Calibri" w:hAnsi="Calibri"/>
      <w:b/>
      <w:bCs/>
      <w:color w:val="0079B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728921fb969db8c0e9752ff979f7cd14772a44.png"/><Relationship Id="rId10" Type="http://schemas.openxmlformats.org/officeDocument/2006/relationships/image" Target="media/05016f2c54ae79934c0b8558381071dc6b425a14.png"/><Relationship Id="rId11" Type="http://schemas.openxmlformats.org/officeDocument/2006/relationships/image" Target="media/913fbe248da77d0483cf83a69fb3d2c365a21576.png"/><Relationship Id="rId12" Type="http://schemas.openxmlformats.org/officeDocument/2006/relationships/image" Target="media/c1851bbeef6ad0801a815f48d635dec453abd2eb.png"/><Relationship Id="rId13" Type="http://schemas.openxmlformats.org/officeDocument/2006/relationships/image" Target="media/a38c3dbc5b244dd26669381008e7fb893be8b104.png"/><Relationship Id="rId14" Type="http://schemas.openxmlformats.org/officeDocument/2006/relationships/image" Target="media/2ca5e860e290ea1b7a95682ca86d0431f764ba92.png"/><Relationship Id="rId15" Type="http://schemas.openxmlformats.org/officeDocument/2006/relationships/image" Target="media/469e7d52e808e22d5e5ad63008d1e8816f946857.png"/><Relationship Id="rId16" Type="http://schemas.openxmlformats.org/officeDocument/2006/relationships/image" Target="media/0250bc7729cd26b548b309776be93c4b13886d61.png"/><Relationship Id="rId17" Type="http://schemas.openxmlformats.org/officeDocument/2006/relationships/image" Target="media/cc41a6511763e3586c565dbd04cf962b6627be9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Tablas del sistema</dc:title>
  <dc:creator>SIGeV</dc:creator>
  <dc:description>Qué guarda cada tabla, cómo se relacionan y cuánto hay</dc:description>
  <cp:lastModifiedBy>Un-named</cp:lastModifiedBy>
  <cp:revision>1</cp:revision>
  <dcterms:created xsi:type="dcterms:W3CDTF">2026-09-12T18:04:10.866Z</dcterms:created>
  <dcterms:modified xsi:type="dcterms:W3CDTF">2026-09-12T18:04:10.867Z</dcterms:modified>
</cp:coreProperties>
</file>

<file path=docProps/custom.xml><?xml version="1.0" encoding="utf-8"?>
<Properties xmlns="http://schemas.openxmlformats.org/officeDocument/2006/custom-properties" xmlns:vt="http://schemas.openxmlformats.org/officeDocument/2006/docPropsVTypes"/>
</file>