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botellas de vino desechadas constituyen una gran parte de los residuos de vidrio de nuestro planeta. Pero, ¿y si pudiéramos darles una segunda vida y transformarlas en algo realmente hermoso?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 enorgullece presentar nuestro tan preciado Florero Betty.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jarrón no solo es una pieza decorativa, sino también un símbolo de sostenibilidad y compromiso social. Lo diseñamos bajo el concepto de </w:t>
      </w:r>
      <w:r w:rsidDel="00000000" w:rsidR="00000000" w:rsidRPr="00000000">
        <w:rPr>
          <w:i w:val="1"/>
          <w:rtl w:val="0"/>
        </w:rPr>
        <w:t xml:space="preserve">upcycling</w:t>
      </w:r>
      <w:r w:rsidDel="00000000" w:rsidR="00000000" w:rsidRPr="00000000">
        <w:rPr>
          <w:rtl w:val="0"/>
        </w:rPr>
        <w:t xml:space="preserve">, dándole un nuevo valor a materiales que de otra manera serían desechados. Esta elaborado 100% a mano, su cuerpo está hecho a partir de botellas de vino reutilizadas, y su base se fabrica con retazos de chapa recuperada de chatarreras.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 reutilizar estas botellas, no solo estamos reduciendo significativamente los residuos, sino que también estamos creando oportunidades laborales en nuestra comunidad local.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Trabajamos de cerca con una red de talleres en el conurbano y con la cooperativa Supercrea, quienes se encargan de proveernos estos envases de vidrio recuperados. Así, hemos logrado construir una red de actores comprometidos con el medio ambiente y el desarrollo social.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