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rPr>
          <w:rFonts w:ascii="Source Code Pro" w:cs="Source Code Pro" w:eastAsia="Source Code Pro" w:hAnsi="Source Code Pro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sz w:val="36"/>
          <w:szCs w:val="36"/>
          <w:rtl w:val="0"/>
        </w:rPr>
        <w:t xml:space="preserve">Criterio de DONE:</w:t>
      </w:r>
    </w:p>
    <w:p w:rsidR="00000000" w:rsidDel="00000000" w:rsidP="00000000" w:rsidRDefault="00000000" w:rsidRPr="00000000" w14:paraId="00000002">
      <w:pPr>
        <w:widowControl w:val="0"/>
        <w:spacing w:after="320" w:lineRule="auto"/>
        <w:rPr/>
      </w:pPr>
      <w:r w:rsidDel="00000000" w:rsidR="00000000" w:rsidRPr="00000000">
        <w:rPr>
          <w:rFonts w:ascii="Source Code Pro" w:cs="Source Code Pro" w:eastAsia="Source Code Pro" w:hAnsi="Source Code Pro"/>
          <w:sz w:val="36"/>
          <w:szCs w:val="36"/>
          <w:rtl w:val="0"/>
        </w:rPr>
        <w:t xml:space="preserve">El criterio de done planteado para el proyecto que se nos presenta consiste en: cumplir todos los criterios de aceptación asignados a las issues, seguir la sintaxis del lenguaje en el que se va a llevar a cabo el trabajo solicitado, además se deberá contar con la verificación de al menos tres miembros del equipo de desarrollo.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