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Testeo de las incidencias del Sprint 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que el testeo sea exitoso deberá cumplir con: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Criterio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tener errores técnicos ni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esto ocurre luego del nombre de la incidencia agregar: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6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CHECK y pintarlo de amarillo. (Ej: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MET-01: CHECK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REHACER y pintarlo en color rojo seguido del por qué. (Ej: </w:t>
      </w:r>
      <w:r w:rsidDel="00000000" w:rsidR="00000000" w:rsidRPr="00000000">
        <w:rPr>
          <w:rFonts w:ascii="Arial" w:cs="Arial" w:eastAsia="Arial" w:hAnsi="Arial"/>
          <w:color w:val="000000"/>
          <w:highlight w:val="red"/>
          <w:rtl w:val="0"/>
        </w:rPr>
        <w:t xml:space="preserve">MET-01:REHACER. Por qué no funciona tal cosa..)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caso de que deba rehacerse la próxima verificación será debajo de la anterior mencionando nuevamente su respectivo id.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Ej:  </w:t>
        <w:tab/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MET-01:REHACER. Por que no cumple con el criterio de aceptación ya que…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MET-01: CHECK</w:t>
      </w:r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MET-01: REHACER. Falto el botón de…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 finalizar se deberá hacer un video sin audio mostrando las funcionalidades generadas en el Sprint 3.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Incidencias: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MET-14: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MET-67:CHECK.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MET-68:CHECK.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MET-69: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MET-70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: CHECK.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MET-71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MET-72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MET-73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MET-74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ffff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MET-75: CHECK.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MET-76: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MET-77: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MET-78: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Video funcional: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