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Examen Final 2015 - Circuitos Electrónicos I - 12 de agosto de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 el circuito de la figura y los diagramas de amplitud y fase de Bode de la ganancia </w:t>
      </w:r>
      <w:r w:rsidDel="00000000" w:rsidR="00000000" w:rsidRPr="00000000">
        <w:rPr>
          <w:b w:val="1"/>
          <w:vertAlign w:val="baseline"/>
          <w:rtl w:val="0"/>
        </w:rPr>
        <w:t xml:space="preserve">a(f)</w:t>
      </w:r>
      <w:r w:rsidDel="00000000" w:rsidR="00000000" w:rsidRPr="00000000">
        <w:rPr>
          <w:vertAlign w:val="baseline"/>
          <w:rtl w:val="0"/>
        </w:rPr>
        <w:t xml:space="preserve">: a) obtener el margen de fase y determinar si es el amplificador realimentado es estable, b) compensar para tener un margen de fase de </w:t>
      </w:r>
      <w:r w:rsidDel="00000000" w:rsidR="00000000" w:rsidRPr="00000000">
        <w:rPr>
          <w:b w:val="1"/>
          <w:vertAlign w:val="baseline"/>
          <w:rtl w:val="0"/>
        </w:rPr>
        <w:t xml:space="preserve">45°</w:t>
      </w:r>
      <w:r w:rsidDel="00000000" w:rsidR="00000000" w:rsidRPr="00000000">
        <w:rPr>
          <w:vertAlign w:val="baseline"/>
          <w:rtl w:val="0"/>
        </w:rPr>
        <w:t xml:space="preserve">, implementar dicha compensación.</w:t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264160</wp:posOffset>
            </wp:positionH>
            <wp:positionV relativeFrom="paragraph">
              <wp:posOffset>7620</wp:posOffset>
            </wp:positionV>
            <wp:extent cx="1466850" cy="1618615"/>
            <wp:effectExtent b="0" l="0" r="0" t="0"/>
            <wp:wrapSquare wrapText="bothSides" distB="0" distT="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18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1935</wp:posOffset>
            </wp:positionV>
            <wp:extent cx="1068070" cy="1903095"/>
            <wp:effectExtent b="0" l="0" r="0" t="0"/>
            <wp:wrapSquare wrapText="bothSides" distB="0" distT="0" distL="114300" distR="1143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903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Dada la etapa de salida </w:t>
      </w:r>
      <w:r w:rsidDel="00000000" w:rsidR="00000000" w:rsidRPr="00000000">
        <w:rPr>
          <w:b w:val="1"/>
          <w:vertAlign w:val="baseline"/>
          <w:rtl w:val="0"/>
        </w:rPr>
        <w:t xml:space="preserve">Clase B</w:t>
      </w:r>
      <w:r w:rsidDel="00000000" w:rsidR="00000000" w:rsidRPr="00000000">
        <w:rPr>
          <w:vertAlign w:val="baseline"/>
          <w:rtl w:val="0"/>
        </w:rPr>
        <w:t xml:space="preserve"> y considerando </w:t>
      </w:r>
      <w:r w:rsidDel="00000000" w:rsidR="00000000" w:rsidRPr="00000000">
        <w:rPr>
          <w:b w:val="1"/>
          <w:vertAlign w:val="baseline"/>
          <w:rtl w:val="0"/>
        </w:rPr>
        <w:t xml:space="preserve">Vce de sat</w:t>
      </w:r>
      <w:r w:rsidDel="00000000" w:rsidR="00000000" w:rsidRPr="00000000">
        <w:rPr>
          <w:vertAlign w:val="baseline"/>
          <w:rtl w:val="0"/>
        </w:rPr>
        <w:t xml:space="preserve">. De ambos </w:t>
      </w:r>
      <w:sdt>
        <w:sdtPr>
          <w:id w:val="-185817061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vertAlign w:val="baseline"/>
              <w:rtl w:val="0"/>
            </w:rPr>
            <w:t xml:space="preserve">TBJ  ≈ 0V</w:t>
          </w:r>
        </w:sdtContent>
      </w:sdt>
      <w:r w:rsidDel="00000000" w:rsidR="00000000" w:rsidRPr="00000000">
        <w:rPr>
          <w:vertAlign w:val="baseline"/>
          <w:rtl w:val="0"/>
        </w:rPr>
        <w:t xml:space="preserve">. Hallar: a) Potencia media en la carga en función de </w:t>
      </w:r>
      <w:r w:rsidDel="00000000" w:rsidR="00000000" w:rsidRPr="00000000">
        <w:rPr>
          <w:vertAlign w:val="baseline"/>
        </w:rPr>
        <w:pict>
          <v:shape id="_x0000_s0" style="width:15pt;height:15pt;" type="#_x0000_t75">
            <v:imagedata r:id="rId1" o:title=""/>
          </v:shape>
          <o:OLEObject DrawAspect="Content" r:id="rId2" ObjectID="_1340800378" ProgID="Equation.3" ShapeID="_x0000_s0" Type="Embed"/>
        </w:pic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; b) rendimiento en función de </w:t>
      </w:r>
      <w:r w:rsidDel="00000000" w:rsidR="00000000" w:rsidRPr="00000000">
        <w:rPr>
          <w:vertAlign w:val="baseline"/>
        </w:rPr>
        <w:pict>
          <v:shape id="_x0000_s1" style="width:15pt;height:15pt;" type="#_x0000_t75">
            <v:imagedata r:id="rId3" o:title=""/>
          </v:shape>
          <o:OLEObject DrawAspect="Content" r:id="rId4" ObjectID="_1340800378" ProgID="Equation.3" ShapeID="_x0000_s1" Type="Embed"/>
        </w:pict>
      </w: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y rendimiento máximo teórico y c) la potencia disipada máxima en los </w:t>
      </w:r>
      <w:r w:rsidDel="00000000" w:rsidR="00000000" w:rsidRPr="00000000">
        <w:rPr>
          <w:b w:val="1"/>
          <w:vertAlign w:val="baseline"/>
          <w:rtl w:val="0"/>
        </w:rPr>
        <w:t xml:space="preserve">TBJs</w:t>
      </w:r>
      <w:r w:rsidDel="00000000" w:rsidR="00000000" w:rsidRPr="00000000">
        <w:rPr>
          <w:vertAlign w:val="baseline"/>
          <w:rtl w:val="0"/>
        </w:rPr>
        <w:t xml:space="preserve">. Si </w:t>
      </w:r>
      <w:r w:rsidDel="00000000" w:rsidR="00000000" w:rsidRPr="00000000">
        <w:rPr>
          <w:b w:val="1"/>
          <w:vertAlign w:val="baseline"/>
          <w:rtl w:val="0"/>
        </w:rPr>
        <w:t xml:space="preserve">Vi(t)</w:t>
      </w:r>
      <w:r w:rsidDel="00000000" w:rsidR="00000000" w:rsidRPr="00000000">
        <w:rPr>
          <w:vertAlign w:val="baseline"/>
          <w:rtl w:val="0"/>
        </w:rPr>
        <w:t xml:space="preserve"> es tal que produce una salida </w:t>
      </w:r>
      <w:r w:rsidDel="00000000" w:rsidR="00000000" w:rsidRPr="00000000">
        <w:rPr>
          <w:b w:val="1"/>
          <w:vertAlign w:val="baseline"/>
          <w:rtl w:val="0"/>
        </w:rPr>
        <w:t xml:space="preserve">Vo(t)= </w:t>
      </w:r>
      <w:r w:rsidDel="00000000" w:rsidR="00000000" w:rsidRPr="00000000">
        <w:rPr>
          <w:b w:val="1"/>
          <w:vertAlign w:val="baseline"/>
        </w:rPr>
        <w:pict>
          <v:shape id="_x0000_s2" style="width:15pt;height:15pt;" type="#_x0000_t75">
            <v:imagedata r:id="rId5" o:title=""/>
          </v:shape>
          <o:OLEObject DrawAspect="Content" r:id="rId6" ObjectID="_1340800378" ProgID="Equation.3" ShapeID="_x0000_s2" Type="Embed"/>
        </w:pict>
      </w:r>
      <w:r w:rsidDel="00000000" w:rsidR="00000000" w:rsidRPr="00000000">
        <w:rPr>
          <w:b w:val="1"/>
          <w:vertAlign w:val="baseline"/>
          <w:rtl w:val="0"/>
        </w:rPr>
        <w:t xml:space="preserve">sen 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60325</wp:posOffset>
            </wp:positionV>
            <wp:extent cx="2346960" cy="1176020"/>
            <wp:effectExtent b="0" l="0" r="0" t="0"/>
            <wp:wrapSquare wrapText="bothSides" distB="0" distT="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176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Dado el siguiente esquema de un oscilador. Desarrollar las condiciones de oscilación y características de las reactancias puras involucradas. 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3183890</wp:posOffset>
            </wp:positionH>
            <wp:positionV relativeFrom="paragraph">
              <wp:posOffset>171450</wp:posOffset>
            </wp:positionV>
            <wp:extent cx="2394585" cy="1210945"/>
            <wp:effectExtent b="0" l="0" r="0" t="0"/>
            <wp:wrapSquare wrapText="bothSides" distB="0" distT="0" distL="114300" distR="11430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210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Hallar la expresión de </w:t>
      </w:r>
      <w:r w:rsidDel="00000000" w:rsidR="00000000" w:rsidRPr="00000000">
        <w:rPr>
          <w:b w:val="1"/>
          <w:vertAlign w:val="baseline"/>
          <w:rtl w:val="0"/>
        </w:rPr>
        <w:t xml:space="preserve">Z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b w:val="1"/>
          <w:vertAlign w:val="baseline"/>
          <w:rtl w:val="0"/>
        </w:rPr>
        <w:t xml:space="preserve">(jw)</w:t>
      </w:r>
      <w:r w:rsidDel="00000000" w:rsidR="00000000" w:rsidRPr="00000000">
        <w:rPr>
          <w:vertAlign w:val="baseline"/>
          <w:rtl w:val="0"/>
        </w:rPr>
        <w:t xml:space="preserve"> , indicar una posible aplicación práctica del circuito.</w:t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4.jpg"/><Relationship Id="rId12" Type="http://schemas.openxmlformats.org/officeDocument/2006/relationships/customXml" Target="../customXML/item1.xml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fontTable" Target="fontTable.xml"/><Relationship Id="rId15" Type="http://schemas.openxmlformats.org/officeDocument/2006/relationships/image" Target="media/image5.png"/><Relationship Id="rId14" Type="http://schemas.openxmlformats.org/officeDocument/2006/relationships/image" Target="media/image6.jpg"/><Relationship Id="rId16" Type="http://schemas.openxmlformats.org/officeDocument/2006/relationships/image" Target="media/image7.jpg"/><Relationship Id="rId5" Type="http://schemas.openxmlformats.org/officeDocument/2006/relationships/image" Target="media/image3.wmf"/><Relationship Id="rId6" Type="http://schemas.openxmlformats.org/officeDocument/2006/relationships/oleObject" Target="embeddings/oleObject1.bin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o02mHh8nMTBlVtsNqYMENlSGQ==">CgMxLjAaFAoBMBIPCg0IB0IJEgdHdW5nc3VoOAByITFMR0JwVTdhN3NtVlBLSmJxdllJUmNJNk1zZTFkTzIwNQ==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2015-07-16T13:19:00Z</dcterms:created>
  <dc:creator>Claudio</dc:creator>
</cp:coreProperties>
</file>