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10" w:rsidRDefault="00925359">
      <w:r w:rsidRPr="00925359">
        <w:drawing>
          <wp:inline distT="0" distB="0" distL="0" distR="0" wp14:anchorId="73D2BF40" wp14:editId="70FA4AD5">
            <wp:extent cx="5850918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044" cy="29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59" w:rsidRDefault="00925359">
      <w:r w:rsidRPr="00925359">
        <w:drawing>
          <wp:inline distT="0" distB="0" distL="0" distR="0" wp14:anchorId="140FF52A" wp14:editId="5F7458F5">
            <wp:extent cx="5852160" cy="37628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696" r="7962" b="2618"/>
                    <a:stretch/>
                  </pic:blipFill>
                  <pic:spPr bwMode="auto">
                    <a:xfrm>
                      <a:off x="0" y="0"/>
                      <a:ext cx="5857671" cy="376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359" w:rsidRDefault="00925359">
      <w:r>
        <w:t xml:space="preserve">Los resultados muestran que, tanto la simulación el </w:t>
      </w:r>
      <w:proofErr w:type="spellStart"/>
      <w:r>
        <w:t>LTspice</w:t>
      </w:r>
      <w:proofErr w:type="spellEnd"/>
      <w:r>
        <w:t xml:space="preserve"> como lo obtenido en Matlab de la transferencia analítica son similares, en magnitud y fase. </w:t>
      </w:r>
      <w:bookmarkStart w:id="0" w:name="_GoBack"/>
      <w:bookmarkEnd w:id="0"/>
      <w:r>
        <w:t xml:space="preserve"> </w:t>
      </w:r>
    </w:p>
    <w:p w:rsidR="00925359" w:rsidRDefault="00925359"/>
    <w:sectPr w:rsidR="00925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59"/>
    <w:rsid w:val="00225110"/>
    <w:rsid w:val="0092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2025-04-30T19:55:00Z</dcterms:created>
  <dcterms:modified xsi:type="dcterms:W3CDTF">2025-04-30T19:58:00Z</dcterms:modified>
</cp:coreProperties>
</file>